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7919B" w14:textId="77777777" w:rsidR="00B878C1" w:rsidRPr="00824629" w:rsidRDefault="006B6920" w:rsidP="00824629">
      <w:pPr>
        <w:jc w:val="center"/>
        <w:rPr>
          <w:b/>
        </w:rPr>
      </w:pPr>
      <w:r w:rsidRPr="00824629">
        <w:rPr>
          <w:b/>
        </w:rPr>
        <w:t>Central Indiana Regional Transportation Authority</w:t>
      </w:r>
    </w:p>
    <w:p w14:paraId="2CF99B3C" w14:textId="77777777" w:rsidR="006B6920" w:rsidRPr="00824629" w:rsidRDefault="006B6920" w:rsidP="00824629">
      <w:pPr>
        <w:jc w:val="center"/>
      </w:pPr>
      <w:r w:rsidRPr="00824629">
        <w:t>Title VI Program and Complaint Procedure</w:t>
      </w:r>
    </w:p>
    <w:p w14:paraId="7EC521E9" w14:textId="77777777" w:rsidR="00F96E8B" w:rsidRPr="00824629" w:rsidRDefault="00D92380" w:rsidP="00824629">
      <w:pPr>
        <w:pStyle w:val="ListParagraph"/>
        <w:numPr>
          <w:ilvl w:val="0"/>
          <w:numId w:val="4"/>
        </w:numPr>
        <w:rPr>
          <w:b/>
        </w:rPr>
      </w:pPr>
      <w:r w:rsidRPr="00824629">
        <w:rPr>
          <w:b/>
        </w:rPr>
        <w:t>CIRTA Policy of Nondiscrimination</w:t>
      </w:r>
    </w:p>
    <w:p w14:paraId="6BB2F508" w14:textId="7626E077" w:rsidR="00E02949" w:rsidRDefault="00F96E8B" w:rsidP="00571478">
      <w:r>
        <w:t>The Central Indiana Regional Transportation Authority (CIRTA) oper</w:t>
      </w:r>
      <w:r w:rsidR="00571478">
        <w:t xml:space="preserve">ates programs without regard to </w:t>
      </w:r>
      <w:r>
        <w:t>race, color and national origin</w:t>
      </w:r>
      <w:r w:rsidR="00571478">
        <w:t xml:space="preserve"> as provided by Title VI of the Civil Rights Act of 1964</w:t>
      </w:r>
      <w:r w:rsidR="00550213">
        <w:t xml:space="preserve">.  No person shall be denied the benefits of CIRTA programs based on his or her race, </w:t>
      </w:r>
      <w:r w:rsidR="008D75E3">
        <w:t>color,</w:t>
      </w:r>
      <w:r w:rsidR="00550213">
        <w:t xml:space="preserve"> or national origin.</w:t>
      </w:r>
      <w:r w:rsidR="00C81AA9">
        <w:t xml:space="preserve">  </w:t>
      </w:r>
    </w:p>
    <w:p w14:paraId="4B6F2AD1" w14:textId="57CFB488" w:rsidR="00EF11F0" w:rsidRDefault="006F404B" w:rsidP="00571478">
      <w:r>
        <w:t xml:space="preserve">CIRTA is committed to practicing nondiscrimination.  Persons </w:t>
      </w:r>
      <w:r w:rsidR="008D75E3">
        <w:t>believing,</w:t>
      </w:r>
      <w:r>
        <w:t xml:space="preserve"> they have been subjected to discrimination </w:t>
      </w:r>
      <w:r w:rsidR="009D0638">
        <w:t xml:space="preserve">based on race, color or national origin </w:t>
      </w:r>
      <w:r>
        <w:t xml:space="preserve">may file a complaint with CIRTA.  </w:t>
      </w:r>
      <w:r w:rsidR="00C81AA9">
        <w:t>CIRTA will publicize the nondiscrimination policy and complaint procedures on its website (</w:t>
      </w:r>
      <w:hyperlink r:id="rId8" w:history="1">
        <w:r w:rsidR="00C81AA9" w:rsidRPr="00023325">
          <w:rPr>
            <w:rStyle w:val="Hyperlink"/>
          </w:rPr>
          <w:t>http://www.cirta.us</w:t>
        </w:r>
      </w:hyperlink>
      <w:r w:rsidR="00C81AA9">
        <w:t xml:space="preserve">).  </w:t>
      </w:r>
    </w:p>
    <w:p w14:paraId="4FE609D5" w14:textId="47630D1C" w:rsidR="00A84A63" w:rsidRDefault="00A84A63" w:rsidP="00824629">
      <w:pPr>
        <w:pStyle w:val="ListParagraph"/>
        <w:numPr>
          <w:ilvl w:val="0"/>
          <w:numId w:val="4"/>
        </w:numPr>
        <w:rPr>
          <w:b/>
        </w:rPr>
      </w:pPr>
      <w:r>
        <w:rPr>
          <w:b/>
        </w:rPr>
        <w:t>CIRTA title VI Coordinator contact information</w:t>
      </w:r>
    </w:p>
    <w:p w14:paraId="3DFAC3AA" w14:textId="140438B6" w:rsidR="00A84A63" w:rsidRPr="00A84A63" w:rsidRDefault="008D75E3" w:rsidP="00A84A63">
      <w:pPr>
        <w:rPr>
          <w:bCs/>
        </w:rPr>
      </w:pPr>
      <w:r>
        <w:rPr>
          <w:bCs/>
        </w:rPr>
        <w:t>David Krieg</w:t>
      </w:r>
    </w:p>
    <w:p w14:paraId="76A1E6D7" w14:textId="44B8026F" w:rsidR="00A84A63" w:rsidRPr="00A84A63" w:rsidRDefault="00A84A63" w:rsidP="00A84A63">
      <w:pPr>
        <w:rPr>
          <w:bCs/>
        </w:rPr>
      </w:pPr>
      <w:r w:rsidRPr="00A84A63">
        <w:rPr>
          <w:bCs/>
        </w:rPr>
        <w:t>CIRTA Mobility Manager</w:t>
      </w:r>
    </w:p>
    <w:p w14:paraId="62422980" w14:textId="1CFAF240" w:rsidR="00A84A63" w:rsidRPr="00A84A63" w:rsidRDefault="00A84A63" w:rsidP="00A84A63">
      <w:pPr>
        <w:rPr>
          <w:bCs/>
        </w:rPr>
      </w:pPr>
      <w:r w:rsidRPr="00A84A63">
        <w:rPr>
          <w:bCs/>
        </w:rPr>
        <w:t>320 N. Meridian St., Suite 920</w:t>
      </w:r>
    </w:p>
    <w:p w14:paraId="622C4DC0" w14:textId="7A70B834" w:rsidR="00A84A63" w:rsidRPr="00A84A63" w:rsidRDefault="00A84A63" w:rsidP="00A84A63">
      <w:pPr>
        <w:rPr>
          <w:bCs/>
        </w:rPr>
      </w:pPr>
      <w:r w:rsidRPr="00A84A63">
        <w:rPr>
          <w:bCs/>
        </w:rPr>
        <w:t>Indianapolis IN 46204</w:t>
      </w:r>
    </w:p>
    <w:p w14:paraId="5157936F" w14:textId="69C9C022" w:rsidR="00A84A63" w:rsidRPr="00A84A63" w:rsidRDefault="00A84A63" w:rsidP="00A84A63">
      <w:pPr>
        <w:rPr>
          <w:bCs/>
        </w:rPr>
      </w:pPr>
      <w:r w:rsidRPr="00A84A63">
        <w:rPr>
          <w:bCs/>
        </w:rPr>
        <w:t>317-327-7433</w:t>
      </w:r>
    </w:p>
    <w:p w14:paraId="7BDCC7D7" w14:textId="720FB497" w:rsidR="00A84A63" w:rsidRPr="00A84A63" w:rsidRDefault="00A84A63" w:rsidP="00A84A63">
      <w:pPr>
        <w:rPr>
          <w:bCs/>
        </w:rPr>
      </w:pPr>
      <w:r w:rsidRPr="00A84A63">
        <w:rPr>
          <w:bCs/>
        </w:rPr>
        <w:t>d</w:t>
      </w:r>
      <w:r w:rsidR="008D75E3">
        <w:rPr>
          <w:bCs/>
        </w:rPr>
        <w:t>krieg</w:t>
      </w:r>
      <w:r w:rsidRPr="00A84A63">
        <w:rPr>
          <w:bCs/>
        </w:rPr>
        <w:t>@cirta.us</w:t>
      </w:r>
    </w:p>
    <w:p w14:paraId="02CA77F6" w14:textId="6D6B7EA2" w:rsidR="00D92380" w:rsidRDefault="00D92380" w:rsidP="00824629">
      <w:pPr>
        <w:pStyle w:val="ListParagraph"/>
        <w:numPr>
          <w:ilvl w:val="0"/>
          <w:numId w:val="4"/>
        </w:numPr>
        <w:rPr>
          <w:b/>
        </w:rPr>
      </w:pPr>
      <w:r w:rsidRPr="00824629">
        <w:rPr>
          <w:b/>
        </w:rPr>
        <w:t xml:space="preserve">CIRTA </w:t>
      </w:r>
      <w:r w:rsidR="008B734A">
        <w:rPr>
          <w:b/>
        </w:rPr>
        <w:t xml:space="preserve">title VI </w:t>
      </w:r>
      <w:r w:rsidRPr="00824629">
        <w:rPr>
          <w:b/>
        </w:rPr>
        <w:t>Complaint Procedure</w:t>
      </w:r>
      <w:r w:rsidR="008B734A">
        <w:rPr>
          <w:b/>
        </w:rPr>
        <w:t>s</w:t>
      </w:r>
    </w:p>
    <w:p w14:paraId="2C68B84A" w14:textId="77777777" w:rsidR="00824629" w:rsidRPr="00824629" w:rsidRDefault="00824629" w:rsidP="00824629">
      <w:pPr>
        <w:pStyle w:val="ListParagraph"/>
        <w:ind w:left="1080"/>
        <w:rPr>
          <w:b/>
        </w:rPr>
      </w:pPr>
    </w:p>
    <w:p w14:paraId="4872B0E6" w14:textId="77777777" w:rsidR="00F96E8B" w:rsidRDefault="00550213" w:rsidP="00550213">
      <w:pPr>
        <w:pStyle w:val="ListParagraph"/>
        <w:numPr>
          <w:ilvl w:val="0"/>
          <w:numId w:val="2"/>
        </w:numPr>
      </w:pPr>
      <w:r>
        <w:t>Any individual, group of individuals, or entity that believes they have been subjected to discrimination prohibited by nondiscrimination requirements may file a complaint against CIRTA.  A formal complaint must be filed within 180 calendar days of the alleged occurrence.</w:t>
      </w:r>
    </w:p>
    <w:p w14:paraId="72F93301" w14:textId="769A1D71" w:rsidR="00550213" w:rsidRDefault="005A77E7" w:rsidP="00550213">
      <w:pPr>
        <w:pStyle w:val="ListParagraph"/>
        <w:numPr>
          <w:ilvl w:val="0"/>
          <w:numId w:val="2"/>
        </w:numPr>
      </w:pPr>
      <w:r>
        <w:t>Written</w:t>
      </w:r>
      <w:r w:rsidR="00B61340">
        <w:t>, signed</w:t>
      </w:r>
      <w:r>
        <w:t xml:space="preserve"> complaints should be submitted to: </w:t>
      </w:r>
      <w:r w:rsidR="00133507">
        <w:t>Mobility Manager</w:t>
      </w:r>
      <w:r>
        <w:t xml:space="preserve">, CIRTA, </w:t>
      </w:r>
      <w:r w:rsidR="008B734A">
        <w:t>320</w:t>
      </w:r>
      <w:r>
        <w:t xml:space="preserve"> N. Meridian St. Suite </w:t>
      </w:r>
      <w:r w:rsidR="008B734A">
        <w:t>9</w:t>
      </w:r>
      <w:r w:rsidR="00A84A63">
        <w:t>2</w:t>
      </w:r>
      <w:r w:rsidR="008B734A">
        <w:t>0</w:t>
      </w:r>
      <w:r>
        <w:t>, Indianapolis, IN 46204.</w:t>
      </w:r>
      <w:r w:rsidR="00B61340">
        <w:t xml:space="preserve">  If the complainant is unable to provide a written complaint, a CIRTA staff member will assist the complainant in transcribing a verbal complaint into writing.  The complain</w:t>
      </w:r>
      <w:r w:rsidR="00A3125B">
        <w:t xml:space="preserve">t </w:t>
      </w:r>
      <w:r w:rsidR="00B61340">
        <w:t xml:space="preserve">must be signed by the complainant or his/her representative.  </w:t>
      </w:r>
      <w:r w:rsidR="00456DEF">
        <w:t xml:space="preserve">Complaints must include dates of occurrences of discrimination and names and job titles of individuals involved when possible.   </w:t>
      </w:r>
    </w:p>
    <w:p w14:paraId="5D26AA31" w14:textId="77777777" w:rsidR="005A77E7" w:rsidRDefault="005A77E7" w:rsidP="005A77E7">
      <w:pPr>
        <w:pStyle w:val="ListParagraph"/>
        <w:numPr>
          <w:ilvl w:val="0"/>
          <w:numId w:val="2"/>
        </w:numPr>
      </w:pPr>
      <w:r>
        <w:t xml:space="preserve">Upon receiving the written complaint, CIRTA will determine its jurisdiction, acceptability, need for additional information, and the investigative merit of the complaint.  </w:t>
      </w:r>
    </w:p>
    <w:p w14:paraId="2F5C0B52" w14:textId="592E2AAC" w:rsidR="005A77E7" w:rsidRDefault="005A77E7" w:rsidP="001E098D">
      <w:pPr>
        <w:pStyle w:val="ListParagraph"/>
        <w:numPr>
          <w:ilvl w:val="0"/>
          <w:numId w:val="2"/>
        </w:numPr>
      </w:pPr>
      <w:r>
        <w:t xml:space="preserve"> </w:t>
      </w:r>
      <w:r w:rsidR="001E098D">
        <w:t xml:space="preserve">Once CIRTA decides its course of action, the complainant and the respondent will be notified in writing of such determination within five calendar days. The complaint will be logged into the CIRTA </w:t>
      </w:r>
      <w:r w:rsidR="00133507">
        <w:t>data base/log by the Mobility Manager</w:t>
      </w:r>
      <w:r w:rsidR="001E098D">
        <w:t xml:space="preserve">, and the basis for the allegation identified including race, color, national origin, disability, </w:t>
      </w:r>
      <w:r w:rsidR="008D75E3">
        <w:t>age,</w:t>
      </w:r>
      <w:r w:rsidR="001E098D">
        <w:t xml:space="preserve"> or sex.</w:t>
      </w:r>
    </w:p>
    <w:p w14:paraId="792B0361" w14:textId="77777777" w:rsidR="001E098D" w:rsidRDefault="001E098D" w:rsidP="001E098D">
      <w:pPr>
        <w:pStyle w:val="ListParagraph"/>
        <w:numPr>
          <w:ilvl w:val="0"/>
          <w:numId w:val="2"/>
        </w:numPr>
      </w:pPr>
      <w:r>
        <w:t>In cases where CIRTA assumes investigation of the complaint, CIRTA will provide the respondent with the opportunity to respond to the allegations in writing. The respondent will have ten calendar days upon receipt, to furnish CIRTA with his/her response to the allegations.</w:t>
      </w:r>
    </w:p>
    <w:p w14:paraId="022DA218" w14:textId="1ECDC64E" w:rsidR="00D85860" w:rsidRDefault="00D85860" w:rsidP="00D85860">
      <w:pPr>
        <w:pStyle w:val="ListParagraph"/>
        <w:numPr>
          <w:ilvl w:val="0"/>
          <w:numId w:val="2"/>
        </w:numPr>
      </w:pPr>
      <w:r>
        <w:lastRenderedPageBreak/>
        <w:t xml:space="preserve">Within 60 days of receipt of the complaint, the </w:t>
      </w:r>
      <w:r w:rsidR="00133507">
        <w:t>Mobility Manager</w:t>
      </w:r>
      <w:r>
        <w:t xml:space="preserve"> will prepare a written investigative report. The report shall include a narrative description of the incident, identification of persons interviewed, findings and recommendations for disposition.</w:t>
      </w:r>
    </w:p>
    <w:p w14:paraId="2BB01DF4" w14:textId="77777777" w:rsidR="00D85860" w:rsidRDefault="00D85860" w:rsidP="00D85860">
      <w:pPr>
        <w:pStyle w:val="ListParagraph"/>
        <w:numPr>
          <w:ilvl w:val="0"/>
          <w:numId w:val="2"/>
        </w:numPr>
      </w:pPr>
      <w:r>
        <w:t>The recommendation shall be reviewed with CIRTA’s attorney.  The attorney may discuss the report and recommendations with the Executive Director and other appropriate CIRTA staff. The report will be modified as needed and made final for its release to the parties.</w:t>
      </w:r>
    </w:p>
    <w:p w14:paraId="1E79EC11" w14:textId="77777777" w:rsidR="00CE0CDC" w:rsidRDefault="00CE0CDC" w:rsidP="00CE0CDC">
      <w:pPr>
        <w:pStyle w:val="ListParagraph"/>
        <w:numPr>
          <w:ilvl w:val="0"/>
          <w:numId w:val="2"/>
        </w:numPr>
      </w:pPr>
      <w:r>
        <w:t>Once the investigative report becomes final, briefings will be scheduled with each party within 15 calendar days. Both the complainant and the respondent shall receive a copy of the investigative report during the briefings and will be notified of their respective appeal rights.</w:t>
      </w:r>
    </w:p>
    <w:p w14:paraId="46620B29" w14:textId="1AE82A56" w:rsidR="00CE0CDC" w:rsidRDefault="00CE0CDC" w:rsidP="004A03C1">
      <w:pPr>
        <w:pStyle w:val="ListParagraph"/>
        <w:numPr>
          <w:ilvl w:val="0"/>
          <w:numId w:val="2"/>
        </w:numPr>
      </w:pPr>
      <w:r>
        <w:t>If the complainant or respondent is not satisfied with the results of the investigation of the alleged discriminatory practice(s), he or she shall be advised of their rights to appeal CIRTA’s decision to the Federal Transit Administration, U.S. Department of Transportation or U.S. Department of Justice. The complainant has 180 calendar days after CIRTA’s final resolution to appeal to USDOT.</w:t>
      </w:r>
      <w:r w:rsidR="004A03C1">
        <w:t xml:space="preserve">  Appeals should be addressed to the Federal Transit Administration Region 5 Office, 200 West Adams Street, Suite 320, Chicago, </w:t>
      </w:r>
      <w:r w:rsidR="008D75E3">
        <w:t>Illinois 60606</w:t>
      </w:r>
      <w:r w:rsidR="004A03C1">
        <w:t xml:space="preserve">, </w:t>
      </w:r>
      <w:r w:rsidR="004A03C1" w:rsidRPr="004A03C1">
        <w:t>Telephone: 312-886-3704</w:t>
      </w:r>
      <w:r w:rsidR="004A03C1">
        <w:t xml:space="preserve">. </w:t>
      </w:r>
    </w:p>
    <w:p w14:paraId="2301C42A" w14:textId="77777777" w:rsidR="008B734A" w:rsidRDefault="008B734A" w:rsidP="008B734A"/>
    <w:p w14:paraId="5097806B" w14:textId="30A2FE7A" w:rsidR="008B734A" w:rsidRPr="008B734A" w:rsidRDefault="008B734A" w:rsidP="008B734A">
      <w:pPr>
        <w:pStyle w:val="ListParagraph"/>
        <w:numPr>
          <w:ilvl w:val="0"/>
          <w:numId w:val="4"/>
        </w:numPr>
        <w:rPr>
          <w:b/>
          <w:bCs/>
        </w:rPr>
      </w:pPr>
      <w:r w:rsidRPr="008B734A">
        <w:rPr>
          <w:b/>
          <w:bCs/>
        </w:rPr>
        <w:t xml:space="preserve">List of transit related Title VI investigations, complaints, and </w:t>
      </w:r>
      <w:r w:rsidR="008D75E3" w:rsidRPr="008B734A">
        <w:rPr>
          <w:b/>
          <w:bCs/>
        </w:rPr>
        <w:t>Lawsuits</w:t>
      </w:r>
      <w:r w:rsidRPr="008B734A">
        <w:rPr>
          <w:b/>
          <w:bCs/>
        </w:rPr>
        <w:t xml:space="preserve">. </w:t>
      </w:r>
    </w:p>
    <w:p w14:paraId="3A530C92" w14:textId="24930812" w:rsidR="005672C8" w:rsidRDefault="005672C8" w:rsidP="008B734A">
      <w:pPr>
        <w:pStyle w:val="ListParagraph"/>
        <w:numPr>
          <w:ilvl w:val="0"/>
          <w:numId w:val="6"/>
        </w:numPr>
      </w:pPr>
      <w:r>
        <w:t xml:space="preserve">An annual Log of Complaints will be maintained by </w:t>
      </w:r>
      <w:r w:rsidR="00FA1613">
        <w:t>CIRTA</w:t>
      </w:r>
      <w:r>
        <w:t>. The Log of Complaints will contain the following information for each complaint filed:</w:t>
      </w:r>
    </w:p>
    <w:p w14:paraId="1F160D5D" w14:textId="77777777" w:rsidR="005672C8" w:rsidRDefault="005672C8" w:rsidP="005672C8">
      <w:pPr>
        <w:pStyle w:val="ListParagraph"/>
        <w:numPr>
          <w:ilvl w:val="1"/>
          <w:numId w:val="2"/>
        </w:numPr>
      </w:pPr>
      <w:r>
        <w:t>The name and address of the person filing the complaint</w:t>
      </w:r>
    </w:p>
    <w:p w14:paraId="2C0B77D6" w14:textId="77777777" w:rsidR="005672C8" w:rsidRDefault="005672C8" w:rsidP="005672C8">
      <w:pPr>
        <w:pStyle w:val="ListParagraph"/>
        <w:numPr>
          <w:ilvl w:val="1"/>
          <w:numId w:val="2"/>
        </w:numPr>
      </w:pPr>
      <w:r>
        <w:t>The date of the complaint</w:t>
      </w:r>
    </w:p>
    <w:p w14:paraId="4F01186B" w14:textId="77777777" w:rsidR="005672C8" w:rsidRDefault="005672C8" w:rsidP="005672C8">
      <w:pPr>
        <w:pStyle w:val="ListParagraph"/>
        <w:numPr>
          <w:ilvl w:val="1"/>
          <w:numId w:val="2"/>
        </w:numPr>
      </w:pPr>
      <w:r>
        <w:t>The basis of the complaint</w:t>
      </w:r>
    </w:p>
    <w:p w14:paraId="7812AC3E" w14:textId="77777777" w:rsidR="005672C8" w:rsidRDefault="005672C8" w:rsidP="005672C8">
      <w:pPr>
        <w:pStyle w:val="ListParagraph"/>
        <w:numPr>
          <w:ilvl w:val="1"/>
          <w:numId w:val="2"/>
        </w:numPr>
      </w:pPr>
      <w:r>
        <w:t>The disposition of the complaint</w:t>
      </w:r>
    </w:p>
    <w:p w14:paraId="7F66AB86" w14:textId="6DA4B27B" w:rsidR="004A5ECF" w:rsidRDefault="008B7AF4" w:rsidP="008B734A">
      <w:pPr>
        <w:pStyle w:val="ListParagraph"/>
        <w:numPr>
          <w:ilvl w:val="0"/>
          <w:numId w:val="6"/>
        </w:numPr>
      </w:pPr>
      <w:r>
        <w:t xml:space="preserve">CIRTA has received 0 complaints as of </w:t>
      </w:r>
      <w:proofErr w:type="gramStart"/>
      <w:r w:rsidR="008D75E3">
        <w:t>October 1, 2020, and</w:t>
      </w:r>
      <w:proofErr w:type="gramEnd"/>
      <w:r w:rsidR="00DD44E7">
        <w:t xml:space="preserve"> has not been subject to any investigations or lawsuits.  </w:t>
      </w:r>
    </w:p>
    <w:p w14:paraId="20CF2E31" w14:textId="77777777" w:rsidR="00824629" w:rsidRPr="00824629" w:rsidRDefault="00824629" w:rsidP="00824629">
      <w:pPr>
        <w:pStyle w:val="ListParagraph"/>
        <w:ind w:left="1080"/>
        <w:rPr>
          <w:b/>
        </w:rPr>
      </w:pPr>
    </w:p>
    <w:p w14:paraId="472BC0AD" w14:textId="1D1ACBAA" w:rsidR="00824629" w:rsidRPr="008B734A" w:rsidRDefault="00824629" w:rsidP="008B734A">
      <w:pPr>
        <w:pStyle w:val="ListParagraph"/>
        <w:numPr>
          <w:ilvl w:val="0"/>
          <w:numId w:val="4"/>
        </w:numPr>
        <w:rPr>
          <w:b/>
        </w:rPr>
      </w:pPr>
      <w:r w:rsidRPr="008B734A">
        <w:rPr>
          <w:b/>
        </w:rPr>
        <w:t>CIRTA’s Program of Access to Persons with Limited English Proficiency</w:t>
      </w:r>
      <w:r w:rsidR="001A4CFD" w:rsidRPr="008B734A">
        <w:rPr>
          <w:b/>
        </w:rPr>
        <w:t xml:space="preserve"> (LEP)</w:t>
      </w:r>
    </w:p>
    <w:p w14:paraId="748B937F" w14:textId="77777777" w:rsidR="00DF2CDA" w:rsidRDefault="000570DE" w:rsidP="000570DE">
      <w:r w:rsidRPr="000570DE">
        <w:t xml:space="preserve">These individuals may be entitled to language assistance with respect to a particular type of service. The federal government and those receiving assistance from the federal government must take reasonable steps to ensure that LEP persons have meaningful access to the programs, services, and information those entities provide. </w:t>
      </w:r>
    </w:p>
    <w:p w14:paraId="29A6697F" w14:textId="77777777" w:rsidR="008F718D" w:rsidRDefault="008F718D" w:rsidP="000570DE">
      <w:r>
        <w:t xml:space="preserve">The following four factors contribute to the policies and procedures followed by CIRTA in providing assistance to LEP individuals.  </w:t>
      </w:r>
      <w:r w:rsidR="00E9290F">
        <w:t xml:space="preserve"> </w:t>
      </w:r>
    </w:p>
    <w:p w14:paraId="7029F870" w14:textId="168CF678" w:rsidR="008F718D" w:rsidRDefault="00DA2410" w:rsidP="008F718D">
      <w:r>
        <w:t>Factor No. 1</w:t>
      </w:r>
      <w:r w:rsidR="000570DE" w:rsidRPr="000570DE">
        <w:t xml:space="preserve">: The number or proportion of LEP persons in the </w:t>
      </w:r>
      <w:r w:rsidR="00DF2CDA">
        <w:t xml:space="preserve">CIRTA </w:t>
      </w:r>
      <w:r w:rsidR="000570DE" w:rsidRPr="000570DE">
        <w:t xml:space="preserve">service area. </w:t>
      </w:r>
      <w:r w:rsidR="00EA7E74">
        <w:t xml:space="preserve"> </w:t>
      </w:r>
      <w:r w:rsidR="008F718D">
        <w:t>The 20</w:t>
      </w:r>
      <w:r w:rsidR="00442654">
        <w:t>18</w:t>
      </w:r>
      <w:r w:rsidR="008F718D">
        <w:t xml:space="preserve"> American Community Survey 1-Year Estimates quantify the proportion of residents aged five years and older that speak English less than “very well” by primary language.  CIRTA’s services are utilized primarily by people living in the Indianapolis-</w:t>
      </w:r>
      <w:r w:rsidR="007C2D76">
        <w:t>Balance</w:t>
      </w:r>
      <w:r w:rsidR="008F718D">
        <w:t xml:space="preserve"> metropolitan area.  The ACS indicates that of the </w:t>
      </w:r>
      <w:r w:rsidR="007C2D76">
        <w:t>857,637</w:t>
      </w:r>
      <w:r w:rsidR="008F718D">
        <w:t xml:space="preserve"> Indianapolis-</w:t>
      </w:r>
      <w:r w:rsidR="007C2D76">
        <w:t>Balance</w:t>
      </w:r>
      <w:r w:rsidR="008F718D">
        <w:t xml:space="preserve"> metropolitan area residents aged five and older, </w:t>
      </w:r>
      <w:r w:rsidR="007C2D76">
        <w:t>49,914</w:t>
      </w:r>
      <w:r w:rsidR="008F718D">
        <w:t xml:space="preserve"> individuals speak English less than very well, or </w:t>
      </w:r>
      <w:r w:rsidR="007C2D76">
        <w:t>6.3</w:t>
      </w:r>
      <w:r w:rsidR="008F718D">
        <w:t xml:space="preserve">% of the total population.  </w:t>
      </w:r>
    </w:p>
    <w:p w14:paraId="0F94C3A7" w14:textId="77777777" w:rsidR="00CA253A" w:rsidRDefault="00CA253A" w:rsidP="008F718D"/>
    <w:p w14:paraId="152CCF96" w14:textId="443A672B" w:rsidR="00985421" w:rsidRDefault="001C2CFA" w:rsidP="008F718D">
      <w:r>
        <w:lastRenderedPageBreak/>
        <w:t>The 201</w:t>
      </w:r>
      <w:r w:rsidR="007C2D76">
        <w:t>8</w:t>
      </w:r>
      <w:r>
        <w:t xml:space="preserve"> American Community Survey </w:t>
      </w:r>
      <w:r w:rsidR="0054381D">
        <w:t>data as follows:</w:t>
      </w:r>
    </w:p>
    <w:p w14:paraId="7205D09B" w14:textId="77777777" w:rsidR="00BD0D5A" w:rsidRPr="00BD0D5A" w:rsidRDefault="00BD0D5A" w:rsidP="00BD0D5A">
      <w:pPr>
        <w:shd w:val="clear" w:color="auto" w:fill="FFFFFF"/>
        <w:spacing w:after="0" w:line="240" w:lineRule="auto"/>
        <w:outlineLvl w:val="0"/>
        <w:rPr>
          <w:rFonts w:ascii="Roboto Condensed" w:eastAsia="Times New Roman" w:hAnsi="Roboto Condensed" w:cs="Times New Roman"/>
          <w:b/>
          <w:bCs/>
          <w:color w:val="112E51"/>
          <w:kern w:val="36"/>
          <w:sz w:val="68"/>
          <w:szCs w:val="68"/>
        </w:rPr>
      </w:pPr>
      <w:r w:rsidRPr="00BD0D5A">
        <w:rPr>
          <w:rFonts w:ascii="Roboto Condensed" w:eastAsia="Times New Roman" w:hAnsi="Roboto Condensed" w:cs="Times New Roman"/>
          <w:b/>
          <w:bCs/>
          <w:color w:val="112E51"/>
          <w:kern w:val="36"/>
          <w:sz w:val="68"/>
          <w:szCs w:val="68"/>
        </w:rPr>
        <w:t>Indianapolis city (balance), Indiana</w:t>
      </w:r>
    </w:p>
    <w:p w14:paraId="6420C989" w14:textId="77777777" w:rsidR="00BD0D5A" w:rsidRPr="00BD0D5A" w:rsidRDefault="00BD0D5A" w:rsidP="00BD0D5A">
      <w:pPr>
        <w:shd w:val="clear" w:color="auto" w:fill="FFFFFF"/>
        <w:spacing w:after="0" w:line="240" w:lineRule="auto"/>
        <w:rPr>
          <w:rFonts w:ascii="Roboto" w:eastAsia="Times New Roman" w:hAnsi="Roboto" w:cs="Times New Roman"/>
          <w:color w:val="112E51"/>
          <w:sz w:val="21"/>
          <w:szCs w:val="21"/>
        </w:rPr>
      </w:pPr>
      <w:r w:rsidRPr="00BD0D5A">
        <w:rPr>
          <w:rFonts w:ascii="Roboto" w:eastAsia="Times New Roman" w:hAnsi="Roboto" w:cs="Times New Roman"/>
          <w:color w:val="112E51"/>
          <w:sz w:val="21"/>
          <w:szCs w:val="21"/>
        </w:rPr>
        <w:t>Place in </w:t>
      </w:r>
      <w:hyperlink r:id="rId9" w:history="1">
        <w:r w:rsidRPr="00BD0D5A">
          <w:rPr>
            <w:rFonts w:ascii="Roboto" w:eastAsia="Times New Roman" w:hAnsi="Roboto" w:cs="Times New Roman"/>
            <w:color w:val="0000FF"/>
            <w:sz w:val="21"/>
            <w:szCs w:val="21"/>
            <w:u w:val="single"/>
          </w:rPr>
          <w:t>Indiana</w:t>
        </w:r>
      </w:hyperlink>
    </w:p>
    <w:p w14:paraId="58E07717" w14:textId="756459EE" w:rsidR="00BD0D5A" w:rsidRDefault="00BD0D5A" w:rsidP="00BD0D5A">
      <w:pPr>
        <w:shd w:val="clear" w:color="auto" w:fill="FFFFFF"/>
        <w:spacing w:after="0" w:line="240" w:lineRule="auto"/>
        <w:rPr>
          <w:rFonts w:ascii="Roboto" w:eastAsia="Times New Roman" w:hAnsi="Roboto" w:cs="Times New Roman"/>
          <w:color w:val="112E51"/>
          <w:sz w:val="21"/>
          <w:szCs w:val="21"/>
        </w:rPr>
      </w:pPr>
      <w:r w:rsidRPr="00BD0D5A">
        <w:rPr>
          <w:rFonts w:ascii="Roboto" w:eastAsia="Times New Roman" w:hAnsi="Roboto" w:cs="Times New Roman"/>
          <w:color w:val="112E51"/>
          <w:sz w:val="21"/>
          <w:szCs w:val="21"/>
        </w:rPr>
        <w:t>Indianapolis city (balance), Indiana is a city, town, place equivalent (CDP), or township located in </w:t>
      </w:r>
      <w:hyperlink r:id="rId10" w:history="1">
        <w:r w:rsidRPr="00BD0D5A">
          <w:rPr>
            <w:rFonts w:ascii="Roboto" w:eastAsia="Times New Roman" w:hAnsi="Roboto" w:cs="Times New Roman"/>
            <w:color w:val="0000FF"/>
            <w:sz w:val="21"/>
            <w:szCs w:val="21"/>
            <w:u w:val="single"/>
          </w:rPr>
          <w:t>Indiana</w:t>
        </w:r>
      </w:hyperlink>
      <w:r w:rsidRPr="00BD0D5A">
        <w:rPr>
          <w:rFonts w:ascii="Roboto" w:eastAsia="Times New Roman" w:hAnsi="Roboto" w:cs="Times New Roman"/>
          <w:color w:val="112E51"/>
          <w:sz w:val="21"/>
          <w:szCs w:val="21"/>
        </w:rPr>
        <w:t>. Indianapolis city (balance), Indiana has a total area of 361.4 square miles.</w:t>
      </w:r>
    </w:p>
    <w:p w14:paraId="25DAEEE2" w14:textId="5B0B0B79" w:rsidR="00BD0D5A" w:rsidRDefault="00BD0D5A" w:rsidP="00BD0D5A">
      <w:pPr>
        <w:shd w:val="clear" w:color="auto" w:fill="FFFFFF"/>
        <w:spacing w:after="0" w:line="240" w:lineRule="auto"/>
        <w:rPr>
          <w:rFonts w:ascii="Roboto" w:eastAsia="Times New Roman" w:hAnsi="Roboto" w:cs="Times New Roman"/>
          <w:color w:val="112E51"/>
          <w:sz w:val="21"/>
          <w:szCs w:val="21"/>
        </w:rPr>
      </w:pPr>
    </w:p>
    <w:p w14:paraId="51C403B6" w14:textId="209A317E" w:rsidR="00BD0D5A" w:rsidRPr="00BD0D5A" w:rsidRDefault="00BD0D5A" w:rsidP="00BD0D5A">
      <w:pPr>
        <w:shd w:val="clear" w:color="auto" w:fill="FFFFFF"/>
        <w:spacing w:after="0" w:line="240" w:lineRule="auto"/>
        <w:rPr>
          <w:rFonts w:ascii="Roboto" w:eastAsia="Times New Roman" w:hAnsi="Roboto" w:cs="Times New Roman"/>
          <w:color w:val="112E51"/>
          <w:sz w:val="21"/>
          <w:szCs w:val="21"/>
        </w:rPr>
      </w:pPr>
      <w:r>
        <w:rPr>
          <w:rFonts w:ascii="Roboto" w:hAnsi="Roboto"/>
          <w:noProof/>
          <w:color w:val="112E51"/>
          <w:sz w:val="21"/>
          <w:szCs w:val="21"/>
        </w:rPr>
        <w:drawing>
          <wp:inline distT="0" distB="0" distL="0" distR="0" wp14:anchorId="56697B6D" wp14:editId="27B0D778">
            <wp:extent cx="3638550" cy="2476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8550" cy="2476500"/>
                    </a:xfrm>
                    <a:prstGeom prst="rect">
                      <a:avLst/>
                    </a:prstGeom>
                    <a:noFill/>
                    <a:ln>
                      <a:noFill/>
                    </a:ln>
                  </pic:spPr>
                </pic:pic>
              </a:graphicData>
            </a:graphic>
          </wp:inline>
        </w:drawing>
      </w:r>
    </w:p>
    <w:p w14:paraId="3645A3E5" w14:textId="77777777" w:rsidR="00BD0D5A" w:rsidRPr="00BD0D5A" w:rsidRDefault="00BD0D5A" w:rsidP="00BD0D5A">
      <w:pPr>
        <w:spacing w:after="0" w:line="240" w:lineRule="auto"/>
        <w:rPr>
          <w:rFonts w:ascii="Times New Roman" w:eastAsia="Times New Roman" w:hAnsi="Times New Roman" w:cs="Times New Roman"/>
          <w:sz w:val="24"/>
          <w:szCs w:val="24"/>
        </w:rPr>
      </w:pPr>
    </w:p>
    <w:p w14:paraId="28AD494E" w14:textId="77777777" w:rsidR="00BD0D5A" w:rsidRPr="00BD0D5A" w:rsidRDefault="00BD0D5A" w:rsidP="00BD0D5A">
      <w:pPr>
        <w:shd w:val="clear" w:color="auto" w:fill="FFFFFF"/>
        <w:spacing w:after="0" w:line="240" w:lineRule="auto"/>
        <w:jc w:val="center"/>
        <w:rPr>
          <w:rFonts w:ascii="Roboto" w:eastAsia="Times New Roman" w:hAnsi="Roboto" w:cs="Times New Roman"/>
          <w:color w:val="112E51"/>
          <w:sz w:val="21"/>
          <w:szCs w:val="21"/>
        </w:rPr>
      </w:pPr>
      <w:r w:rsidRPr="00BD0D5A">
        <w:rPr>
          <w:rFonts w:ascii="Roboto" w:eastAsia="Times New Roman" w:hAnsi="Roboto" w:cs="Times New Roman"/>
          <w:noProof/>
          <w:color w:val="112E51"/>
          <w:sz w:val="21"/>
          <w:szCs w:val="21"/>
        </w:rPr>
        <mc:AlternateContent>
          <mc:Choice Requires="wps">
            <w:drawing>
              <wp:inline distT="0" distB="0" distL="0" distR="0" wp14:anchorId="2F811708" wp14:editId="065D52D8">
                <wp:extent cx="304800" cy="304800"/>
                <wp:effectExtent l="0" t="0" r="0" b="0"/>
                <wp:docPr id="8" name="AutoShape 10" descr="POPULATION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5508A0" id="AutoShape 10" o:spid="_x0000_s1026" alt="POPULATION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AE20942" w14:textId="77777777" w:rsidR="00BD0D5A" w:rsidRPr="00BD0D5A" w:rsidRDefault="00000000" w:rsidP="00BD0D5A">
      <w:pPr>
        <w:shd w:val="clear" w:color="auto" w:fill="FFFFFF"/>
        <w:spacing w:before="120" w:after="120" w:line="240" w:lineRule="auto"/>
        <w:jc w:val="center"/>
        <w:rPr>
          <w:rFonts w:ascii="Roboto" w:eastAsia="Times New Roman" w:hAnsi="Roboto" w:cs="Times New Roman"/>
          <w:color w:val="112E51"/>
          <w:sz w:val="21"/>
          <w:szCs w:val="21"/>
        </w:rPr>
      </w:pPr>
      <w:r>
        <w:rPr>
          <w:rFonts w:ascii="Roboto" w:eastAsia="Times New Roman" w:hAnsi="Roboto" w:cs="Times New Roman"/>
          <w:color w:val="112E51"/>
          <w:sz w:val="21"/>
          <w:szCs w:val="21"/>
        </w:rPr>
        <w:pict w14:anchorId="1B2B9528">
          <v:rect id="_x0000_i1025" style="width:60pt;height:1.5pt" o:hrpct="0" o:hralign="center" o:hrstd="t" o:hr="t" fillcolor="#a0a0a0" stroked="f"/>
        </w:pict>
      </w:r>
    </w:p>
    <w:p w14:paraId="6C89ED3C" w14:textId="77777777" w:rsidR="00BD0D5A" w:rsidRPr="00BD0D5A" w:rsidRDefault="00BD0D5A" w:rsidP="00BD0D5A">
      <w:pPr>
        <w:shd w:val="clear" w:color="auto" w:fill="FFFFFF"/>
        <w:spacing w:after="0" w:line="240" w:lineRule="auto"/>
        <w:jc w:val="center"/>
        <w:rPr>
          <w:rFonts w:ascii="Roboto" w:eastAsia="Times New Roman" w:hAnsi="Roboto" w:cs="Times New Roman"/>
          <w:color w:val="112E51"/>
          <w:sz w:val="21"/>
          <w:szCs w:val="21"/>
        </w:rPr>
      </w:pPr>
      <w:r w:rsidRPr="00BD0D5A">
        <w:rPr>
          <w:rFonts w:ascii="Roboto" w:eastAsia="Times New Roman" w:hAnsi="Roboto" w:cs="Times New Roman"/>
          <w:color w:val="112E51"/>
          <w:sz w:val="21"/>
          <w:szCs w:val="21"/>
        </w:rPr>
        <w:t>POPULATION</w:t>
      </w:r>
    </w:p>
    <w:p w14:paraId="025F02D9" w14:textId="77777777" w:rsidR="00BD0D5A" w:rsidRPr="00BD0D5A" w:rsidRDefault="00BD0D5A" w:rsidP="00BD0D5A">
      <w:pPr>
        <w:shd w:val="clear" w:color="auto" w:fill="FFFFFF"/>
        <w:spacing w:after="0" w:line="240" w:lineRule="auto"/>
        <w:jc w:val="center"/>
        <w:rPr>
          <w:rFonts w:ascii="Roboto" w:eastAsia="Times New Roman" w:hAnsi="Roboto" w:cs="Times New Roman"/>
          <w:color w:val="112E51"/>
          <w:sz w:val="36"/>
          <w:szCs w:val="36"/>
        </w:rPr>
      </w:pPr>
      <w:r w:rsidRPr="00BD0D5A">
        <w:rPr>
          <w:rFonts w:ascii="Roboto" w:eastAsia="Times New Roman" w:hAnsi="Roboto" w:cs="Times New Roman"/>
          <w:color w:val="112E51"/>
          <w:sz w:val="36"/>
          <w:szCs w:val="36"/>
        </w:rPr>
        <w:t>857,637</w:t>
      </w:r>
    </w:p>
    <w:p w14:paraId="11FCEF9D" w14:textId="77777777" w:rsidR="00BD0D5A" w:rsidRPr="00BD0D5A" w:rsidRDefault="00BD0D5A" w:rsidP="00BD0D5A">
      <w:pPr>
        <w:shd w:val="clear" w:color="auto" w:fill="FFFFFF"/>
        <w:spacing w:after="0" w:line="240" w:lineRule="auto"/>
        <w:jc w:val="center"/>
        <w:rPr>
          <w:rFonts w:ascii="Roboto" w:eastAsia="Times New Roman" w:hAnsi="Roboto" w:cs="Times New Roman"/>
          <w:color w:val="112E51"/>
          <w:sz w:val="21"/>
          <w:szCs w:val="21"/>
        </w:rPr>
      </w:pPr>
      <w:r w:rsidRPr="00BD0D5A">
        <w:rPr>
          <w:rFonts w:ascii="Roboto" w:eastAsia="Times New Roman" w:hAnsi="Roboto" w:cs="Times New Roman"/>
          <w:noProof/>
          <w:color w:val="112E51"/>
          <w:sz w:val="21"/>
          <w:szCs w:val="21"/>
        </w:rPr>
        <mc:AlternateContent>
          <mc:Choice Requires="wps">
            <w:drawing>
              <wp:inline distT="0" distB="0" distL="0" distR="0" wp14:anchorId="453FE024" wp14:editId="3E869D58">
                <wp:extent cx="304800" cy="304800"/>
                <wp:effectExtent l="0" t="0" r="0" b="0"/>
                <wp:docPr id="7" name="AutoShape 12" descr="MEDIAN HOUSEHOLD INCOME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170C7A" id="AutoShape 12" o:spid="_x0000_s1026" alt="MEDIAN HOUSEHOLD INCOME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1A879A2" w14:textId="174F1611" w:rsidR="00BD0D5A" w:rsidRDefault="00BD0D5A" w:rsidP="008F718D"/>
    <w:p w14:paraId="5939E077" w14:textId="77777777" w:rsidR="00BD0D5A" w:rsidRPr="00BD0D5A" w:rsidRDefault="00BD0D5A" w:rsidP="00BD0D5A">
      <w:pPr>
        <w:spacing w:after="0" w:line="240" w:lineRule="auto"/>
        <w:rPr>
          <w:rFonts w:ascii="Times New Roman" w:eastAsia="Times New Roman" w:hAnsi="Times New Roman" w:cs="Times New Roman"/>
          <w:sz w:val="24"/>
          <w:szCs w:val="24"/>
        </w:rPr>
      </w:pPr>
      <w:r w:rsidRPr="00BD0D5A">
        <w:rPr>
          <w:rFonts w:ascii="Times New Roman" w:eastAsia="Times New Roman" w:hAnsi="Times New Roman" w:cs="Times New Roman"/>
          <w:noProof/>
          <w:sz w:val="24"/>
          <w:szCs w:val="24"/>
        </w:rPr>
        <mc:AlternateContent>
          <mc:Choice Requires="wps">
            <w:drawing>
              <wp:inline distT="0" distB="0" distL="0" distR="0" wp14:anchorId="6C9F8AE0" wp14:editId="3F9FAF02">
                <wp:extent cx="304800" cy="304800"/>
                <wp:effectExtent l="0" t="0" r="0" b="0"/>
                <wp:docPr id="4" name="AutoShape 5" descr="POPULATION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7419B6" id="AutoShape 5" o:spid="_x0000_s1026" alt="POPULATION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C65282C" w14:textId="77777777" w:rsidR="00BD0D5A" w:rsidRPr="00BD0D5A" w:rsidRDefault="00000000" w:rsidP="00BD0D5A">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F2D559B">
          <v:rect id="_x0000_i1026" style="width:60pt;height:1.5pt" o:hrpct="0" o:hralign="center" o:hrstd="t" o:hrnoshade="t" o:hr="t" fillcolor="#112e51" stroked="f"/>
        </w:pict>
      </w:r>
    </w:p>
    <w:p w14:paraId="6FC2EBE2" w14:textId="77777777" w:rsidR="00BD0D5A" w:rsidRPr="00BD0D5A" w:rsidRDefault="00BD0D5A" w:rsidP="00BD0D5A">
      <w:pPr>
        <w:shd w:val="clear" w:color="auto" w:fill="FFFFFF"/>
        <w:spacing w:after="0" w:line="240" w:lineRule="auto"/>
        <w:jc w:val="center"/>
        <w:rPr>
          <w:rFonts w:ascii="Roboto" w:eastAsia="Times New Roman" w:hAnsi="Roboto" w:cs="Times New Roman"/>
          <w:color w:val="112E51"/>
          <w:sz w:val="21"/>
          <w:szCs w:val="21"/>
        </w:rPr>
      </w:pPr>
      <w:r w:rsidRPr="00BD0D5A">
        <w:rPr>
          <w:rFonts w:ascii="Roboto" w:eastAsia="Times New Roman" w:hAnsi="Roboto" w:cs="Times New Roman"/>
          <w:color w:val="112E51"/>
          <w:sz w:val="21"/>
          <w:szCs w:val="21"/>
        </w:rPr>
        <w:t>POPULATION</w:t>
      </w:r>
    </w:p>
    <w:p w14:paraId="23E03D61" w14:textId="77777777" w:rsidR="00BD0D5A" w:rsidRPr="00BD0D5A" w:rsidRDefault="00BD0D5A" w:rsidP="00BD0D5A">
      <w:pPr>
        <w:shd w:val="clear" w:color="auto" w:fill="FFFFFF"/>
        <w:spacing w:after="0" w:line="240" w:lineRule="auto"/>
        <w:jc w:val="center"/>
        <w:rPr>
          <w:rFonts w:ascii="Roboto" w:eastAsia="Times New Roman" w:hAnsi="Roboto" w:cs="Times New Roman"/>
          <w:color w:val="112E51"/>
          <w:sz w:val="36"/>
          <w:szCs w:val="36"/>
        </w:rPr>
      </w:pPr>
      <w:r w:rsidRPr="00BD0D5A">
        <w:rPr>
          <w:rFonts w:ascii="Roboto" w:eastAsia="Times New Roman" w:hAnsi="Roboto" w:cs="Times New Roman"/>
          <w:color w:val="112E51"/>
          <w:sz w:val="36"/>
          <w:szCs w:val="36"/>
        </w:rPr>
        <w:t>857,637</w:t>
      </w:r>
    </w:p>
    <w:p w14:paraId="500E5853" w14:textId="77777777" w:rsidR="00BD0D5A" w:rsidRDefault="00BD0D5A" w:rsidP="008F718D"/>
    <w:p w14:paraId="73245A5F" w14:textId="5617E654" w:rsidR="009F4A13" w:rsidRDefault="00BD0D5A" w:rsidP="008F718D">
      <w:r>
        <w:rPr>
          <w:noProof/>
        </w:rPr>
        <w:lastRenderedPageBreak/>
        <w:drawing>
          <wp:inline distT="0" distB="0" distL="0" distR="0" wp14:anchorId="6CE10C93" wp14:editId="10AC56A5">
            <wp:extent cx="4924425" cy="33337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4425" cy="3333750"/>
                    </a:xfrm>
                    <a:prstGeom prst="rect">
                      <a:avLst/>
                    </a:prstGeom>
                    <a:noFill/>
                    <a:ln>
                      <a:noFill/>
                    </a:ln>
                  </pic:spPr>
                </pic:pic>
              </a:graphicData>
            </a:graphic>
          </wp:inline>
        </w:drawing>
      </w:r>
    </w:p>
    <w:p w14:paraId="6DEC12CF" w14:textId="47E5B29A" w:rsidR="00BD0D5A" w:rsidRDefault="00BD0D5A" w:rsidP="008F718D"/>
    <w:p w14:paraId="5201A99E" w14:textId="7647F385" w:rsidR="00BD0D5A" w:rsidRDefault="00BD0D5A" w:rsidP="008F718D">
      <w:r>
        <w:rPr>
          <w:noProof/>
        </w:rPr>
        <w:drawing>
          <wp:inline distT="0" distB="0" distL="0" distR="0" wp14:anchorId="2148C938" wp14:editId="005C1DDF">
            <wp:extent cx="4924425" cy="33337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4425" cy="3333750"/>
                    </a:xfrm>
                    <a:prstGeom prst="rect">
                      <a:avLst/>
                    </a:prstGeom>
                    <a:noFill/>
                    <a:ln>
                      <a:noFill/>
                    </a:ln>
                  </pic:spPr>
                </pic:pic>
              </a:graphicData>
            </a:graphic>
          </wp:inline>
        </w:drawing>
      </w:r>
    </w:p>
    <w:p w14:paraId="41562064" w14:textId="6DD664FD" w:rsidR="00442654" w:rsidRDefault="00442654" w:rsidP="008F718D"/>
    <w:p w14:paraId="49203AD3" w14:textId="77777777" w:rsidR="0054381D" w:rsidRDefault="0054381D" w:rsidP="008F718D">
      <w:pPr>
        <w:rPr>
          <w:b/>
          <w:bCs/>
        </w:rPr>
      </w:pPr>
    </w:p>
    <w:p w14:paraId="2EAAB988" w14:textId="77777777" w:rsidR="00CA253A" w:rsidRDefault="00CA253A" w:rsidP="0054381D"/>
    <w:p w14:paraId="1699FFF4" w14:textId="77777777" w:rsidR="00CA253A" w:rsidRDefault="00CA253A" w:rsidP="0054381D"/>
    <w:p w14:paraId="6F507C31" w14:textId="669C55F2" w:rsidR="0054381D" w:rsidRDefault="0054381D" w:rsidP="0054381D">
      <w:r>
        <w:lastRenderedPageBreak/>
        <w:t xml:space="preserve">1-Year Estimates Table B below provides </w:t>
      </w:r>
      <w:r w:rsidRPr="001C2CFA">
        <w:t>language spoken at home b</w:t>
      </w:r>
      <w:r>
        <w:t>y ability to speak E</w:t>
      </w:r>
      <w:r w:rsidRPr="001C2CFA">
        <w:t xml:space="preserve">nglish for the population </w:t>
      </w:r>
      <w:r>
        <w:t xml:space="preserve">aged </w:t>
      </w:r>
      <w:r w:rsidRPr="001C2CFA">
        <w:t>5 years and over</w:t>
      </w:r>
      <w:r>
        <w:t>:</w:t>
      </w:r>
    </w:p>
    <w:p w14:paraId="11561D02" w14:textId="77777777" w:rsidR="0054381D" w:rsidRDefault="0054381D" w:rsidP="008F718D">
      <w:pPr>
        <w:rPr>
          <w:b/>
          <w:bCs/>
        </w:rPr>
      </w:pPr>
    </w:p>
    <w:p w14:paraId="54ED326C" w14:textId="747D98A6" w:rsidR="007C2D76" w:rsidRPr="007C2D76" w:rsidRDefault="007C2D76" w:rsidP="008F718D">
      <w:pPr>
        <w:rPr>
          <w:b/>
          <w:bCs/>
        </w:rPr>
      </w:pPr>
      <w:r w:rsidRPr="007C2D76">
        <w:rPr>
          <w:b/>
          <w:bCs/>
        </w:rPr>
        <w:t>Table B</w:t>
      </w:r>
    </w:p>
    <w:tbl>
      <w:tblPr>
        <w:tblW w:w="9500" w:type="dxa"/>
        <w:tblInd w:w="113" w:type="dxa"/>
        <w:tblLook w:val="04A0" w:firstRow="1" w:lastRow="0" w:firstColumn="1" w:lastColumn="0" w:noHBand="0" w:noVBand="1"/>
      </w:tblPr>
      <w:tblGrid>
        <w:gridCol w:w="3600"/>
        <w:gridCol w:w="1320"/>
        <w:gridCol w:w="1540"/>
        <w:gridCol w:w="1320"/>
        <w:gridCol w:w="1720"/>
      </w:tblGrid>
      <w:tr w:rsidR="00442654" w:rsidRPr="00442654" w14:paraId="0E6F72C5" w14:textId="77777777" w:rsidTr="00C04FEC">
        <w:trPr>
          <w:trHeight w:val="30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93F56" w14:textId="77777777" w:rsidR="00442654" w:rsidRPr="00442654" w:rsidRDefault="00442654" w:rsidP="00442654">
            <w:pPr>
              <w:spacing w:after="0" w:line="240" w:lineRule="auto"/>
              <w:rPr>
                <w:rFonts w:ascii="Calibri" w:eastAsia="Times New Roman" w:hAnsi="Calibri" w:cs="Calibri"/>
                <w:color w:val="000000"/>
              </w:rPr>
            </w:pPr>
            <w:r w:rsidRPr="00442654">
              <w:rPr>
                <w:rFonts w:ascii="Calibri" w:eastAsia="Times New Roman" w:hAnsi="Calibri" w:cs="Calibri"/>
                <w:color w:val="000000"/>
              </w:rPr>
              <w:t>LANGUAGE SPOKEN AT HOME</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397F79FB" w14:textId="77777777" w:rsidR="00442654" w:rsidRPr="00442654" w:rsidRDefault="00442654" w:rsidP="00442654">
            <w:pPr>
              <w:spacing w:after="0" w:line="240" w:lineRule="auto"/>
              <w:rPr>
                <w:rFonts w:ascii="Calibri" w:eastAsia="Times New Roman" w:hAnsi="Calibri" w:cs="Calibri"/>
                <w:color w:val="000000"/>
              </w:rPr>
            </w:pPr>
            <w:r w:rsidRPr="00442654">
              <w:rPr>
                <w:rFonts w:ascii="Calibri" w:eastAsia="Times New Roman" w:hAnsi="Calibri" w:cs="Calibri"/>
                <w:color w:val="000000"/>
              </w:rPr>
              <w:t>Estimate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A776910" w14:textId="77777777" w:rsidR="00442654" w:rsidRPr="00442654" w:rsidRDefault="00442654" w:rsidP="00442654">
            <w:pPr>
              <w:spacing w:after="0" w:line="240" w:lineRule="auto"/>
              <w:rPr>
                <w:rFonts w:ascii="Calibri" w:eastAsia="Times New Roman" w:hAnsi="Calibri" w:cs="Calibri"/>
                <w:color w:val="000000"/>
              </w:rPr>
            </w:pPr>
            <w:r w:rsidRPr="00442654">
              <w:rPr>
                <w:rFonts w:ascii="Calibri" w:eastAsia="Times New Roman" w:hAnsi="Calibri" w:cs="Calibri"/>
                <w:color w:val="000000"/>
              </w:rPr>
              <w:t>Margin of Error</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020668ED" w14:textId="77777777" w:rsidR="00442654" w:rsidRPr="00442654" w:rsidRDefault="00442654" w:rsidP="00442654">
            <w:pPr>
              <w:spacing w:after="0" w:line="240" w:lineRule="auto"/>
              <w:rPr>
                <w:rFonts w:ascii="Calibri" w:eastAsia="Times New Roman" w:hAnsi="Calibri" w:cs="Calibri"/>
                <w:color w:val="000000"/>
              </w:rPr>
            </w:pPr>
            <w:r w:rsidRPr="00442654">
              <w:rPr>
                <w:rFonts w:ascii="Calibri" w:eastAsia="Times New Roman" w:hAnsi="Calibri" w:cs="Calibri"/>
                <w:color w:val="000000"/>
              </w:rPr>
              <w:t>Percentage</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4AF404F8" w14:textId="77777777" w:rsidR="00442654" w:rsidRPr="00442654" w:rsidRDefault="00442654" w:rsidP="00442654">
            <w:pPr>
              <w:spacing w:after="0" w:line="240" w:lineRule="auto"/>
              <w:rPr>
                <w:rFonts w:ascii="Calibri" w:eastAsia="Times New Roman" w:hAnsi="Calibri" w:cs="Calibri"/>
                <w:color w:val="000000"/>
              </w:rPr>
            </w:pPr>
            <w:r w:rsidRPr="00442654">
              <w:rPr>
                <w:rFonts w:ascii="Calibri" w:eastAsia="Times New Roman" w:hAnsi="Calibri" w:cs="Calibri"/>
                <w:color w:val="000000"/>
              </w:rPr>
              <w:t xml:space="preserve">% </w:t>
            </w:r>
            <w:proofErr w:type="gramStart"/>
            <w:r w:rsidRPr="00442654">
              <w:rPr>
                <w:rFonts w:ascii="Calibri" w:eastAsia="Times New Roman" w:hAnsi="Calibri" w:cs="Calibri"/>
                <w:color w:val="000000"/>
              </w:rPr>
              <w:t>margin</w:t>
            </w:r>
            <w:proofErr w:type="gramEnd"/>
            <w:r w:rsidRPr="00442654">
              <w:rPr>
                <w:rFonts w:ascii="Calibri" w:eastAsia="Times New Roman" w:hAnsi="Calibri" w:cs="Calibri"/>
                <w:color w:val="000000"/>
              </w:rPr>
              <w:t xml:space="preserve"> of error</w:t>
            </w:r>
          </w:p>
        </w:tc>
      </w:tr>
      <w:tr w:rsidR="00442654" w:rsidRPr="00442654" w14:paraId="0F5D6035" w14:textId="77777777" w:rsidTr="00C04FEC">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4929D6C" w14:textId="77777777" w:rsidR="00442654" w:rsidRPr="00442654" w:rsidRDefault="00442654" w:rsidP="00442654">
            <w:pPr>
              <w:spacing w:after="0" w:line="240" w:lineRule="auto"/>
              <w:rPr>
                <w:rFonts w:ascii="Calibri" w:eastAsia="Times New Roman" w:hAnsi="Calibri" w:cs="Calibri"/>
                <w:color w:val="000000"/>
              </w:rPr>
            </w:pPr>
            <w:r w:rsidRPr="00442654">
              <w:rPr>
                <w:rFonts w:ascii="Calibri" w:eastAsia="Times New Roman" w:hAnsi="Calibri" w:cs="Calibri"/>
                <w:color w:val="000000"/>
              </w:rPr>
              <w:t>Population 5 years and over</w:t>
            </w:r>
          </w:p>
        </w:tc>
        <w:tc>
          <w:tcPr>
            <w:tcW w:w="1320" w:type="dxa"/>
            <w:tcBorders>
              <w:top w:val="nil"/>
              <w:left w:val="nil"/>
              <w:bottom w:val="single" w:sz="4" w:space="0" w:color="auto"/>
              <w:right w:val="single" w:sz="4" w:space="0" w:color="auto"/>
            </w:tcBorders>
            <w:shd w:val="clear" w:color="auto" w:fill="auto"/>
            <w:noWrap/>
            <w:vAlign w:val="bottom"/>
            <w:hideMark/>
          </w:tcPr>
          <w:p w14:paraId="67AE185E"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794725</w:t>
            </w:r>
          </w:p>
        </w:tc>
        <w:tc>
          <w:tcPr>
            <w:tcW w:w="1540" w:type="dxa"/>
            <w:tcBorders>
              <w:top w:val="nil"/>
              <w:left w:val="nil"/>
              <w:bottom w:val="single" w:sz="4" w:space="0" w:color="auto"/>
              <w:right w:val="single" w:sz="4" w:space="0" w:color="auto"/>
            </w:tcBorders>
            <w:shd w:val="clear" w:color="auto" w:fill="auto"/>
            <w:noWrap/>
            <w:vAlign w:val="bottom"/>
            <w:hideMark/>
          </w:tcPr>
          <w:p w14:paraId="1CE9A9B7"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708</w:t>
            </w:r>
          </w:p>
        </w:tc>
        <w:tc>
          <w:tcPr>
            <w:tcW w:w="1320" w:type="dxa"/>
            <w:tcBorders>
              <w:top w:val="nil"/>
              <w:left w:val="nil"/>
              <w:bottom w:val="single" w:sz="4" w:space="0" w:color="auto"/>
              <w:right w:val="single" w:sz="4" w:space="0" w:color="auto"/>
            </w:tcBorders>
            <w:shd w:val="clear" w:color="auto" w:fill="auto"/>
            <w:noWrap/>
            <w:vAlign w:val="bottom"/>
            <w:hideMark/>
          </w:tcPr>
          <w:p w14:paraId="4B20839B"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794725</w:t>
            </w:r>
          </w:p>
        </w:tc>
        <w:tc>
          <w:tcPr>
            <w:tcW w:w="1720" w:type="dxa"/>
            <w:tcBorders>
              <w:top w:val="nil"/>
              <w:left w:val="nil"/>
              <w:bottom w:val="single" w:sz="4" w:space="0" w:color="auto"/>
              <w:right w:val="single" w:sz="4" w:space="0" w:color="auto"/>
            </w:tcBorders>
            <w:shd w:val="clear" w:color="auto" w:fill="auto"/>
            <w:noWrap/>
            <w:vAlign w:val="bottom"/>
            <w:hideMark/>
          </w:tcPr>
          <w:p w14:paraId="3965BF01" w14:textId="77777777" w:rsidR="00442654" w:rsidRPr="00442654" w:rsidRDefault="00442654" w:rsidP="00442654">
            <w:pPr>
              <w:spacing w:after="0" w:line="240" w:lineRule="auto"/>
              <w:rPr>
                <w:rFonts w:ascii="Calibri" w:eastAsia="Times New Roman" w:hAnsi="Calibri" w:cs="Calibri"/>
                <w:color w:val="000000"/>
              </w:rPr>
            </w:pPr>
            <w:r w:rsidRPr="00442654">
              <w:rPr>
                <w:rFonts w:ascii="Calibri" w:eastAsia="Times New Roman" w:hAnsi="Calibri" w:cs="Calibri"/>
                <w:color w:val="000000"/>
              </w:rPr>
              <w:t>(X)</w:t>
            </w:r>
          </w:p>
        </w:tc>
      </w:tr>
      <w:tr w:rsidR="00442654" w:rsidRPr="00442654" w14:paraId="4B51F225" w14:textId="77777777" w:rsidTr="00C04FEC">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0C4098BD" w14:textId="77777777" w:rsidR="00442654" w:rsidRPr="00442654" w:rsidRDefault="00442654" w:rsidP="00442654">
            <w:pPr>
              <w:spacing w:after="0" w:line="240" w:lineRule="auto"/>
              <w:rPr>
                <w:rFonts w:ascii="Calibri" w:eastAsia="Times New Roman" w:hAnsi="Calibri" w:cs="Calibri"/>
                <w:color w:val="000000"/>
              </w:rPr>
            </w:pPr>
            <w:r w:rsidRPr="00442654">
              <w:rPr>
                <w:rFonts w:ascii="Calibri" w:eastAsia="Times New Roman" w:hAnsi="Calibri" w:cs="Calibri"/>
                <w:color w:val="000000"/>
              </w:rPr>
              <w:t>English only</w:t>
            </w:r>
          </w:p>
        </w:tc>
        <w:tc>
          <w:tcPr>
            <w:tcW w:w="1320" w:type="dxa"/>
            <w:tcBorders>
              <w:top w:val="nil"/>
              <w:left w:val="nil"/>
              <w:bottom w:val="single" w:sz="4" w:space="0" w:color="auto"/>
              <w:right w:val="single" w:sz="4" w:space="0" w:color="auto"/>
            </w:tcBorders>
            <w:shd w:val="clear" w:color="auto" w:fill="auto"/>
            <w:noWrap/>
            <w:vAlign w:val="bottom"/>
            <w:hideMark/>
          </w:tcPr>
          <w:p w14:paraId="25304914"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685923</w:t>
            </w:r>
          </w:p>
        </w:tc>
        <w:tc>
          <w:tcPr>
            <w:tcW w:w="1540" w:type="dxa"/>
            <w:tcBorders>
              <w:top w:val="nil"/>
              <w:left w:val="nil"/>
              <w:bottom w:val="single" w:sz="4" w:space="0" w:color="auto"/>
              <w:right w:val="single" w:sz="4" w:space="0" w:color="auto"/>
            </w:tcBorders>
            <w:shd w:val="clear" w:color="auto" w:fill="auto"/>
            <w:noWrap/>
            <w:vAlign w:val="bottom"/>
            <w:hideMark/>
          </w:tcPr>
          <w:p w14:paraId="48704381"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2711</w:t>
            </w:r>
          </w:p>
        </w:tc>
        <w:tc>
          <w:tcPr>
            <w:tcW w:w="1320" w:type="dxa"/>
            <w:tcBorders>
              <w:top w:val="nil"/>
              <w:left w:val="nil"/>
              <w:bottom w:val="single" w:sz="4" w:space="0" w:color="auto"/>
              <w:right w:val="single" w:sz="4" w:space="0" w:color="auto"/>
            </w:tcBorders>
            <w:shd w:val="clear" w:color="auto" w:fill="auto"/>
            <w:noWrap/>
            <w:vAlign w:val="bottom"/>
            <w:hideMark/>
          </w:tcPr>
          <w:p w14:paraId="15DA9165"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86.3</w:t>
            </w:r>
          </w:p>
        </w:tc>
        <w:tc>
          <w:tcPr>
            <w:tcW w:w="1720" w:type="dxa"/>
            <w:tcBorders>
              <w:top w:val="nil"/>
              <w:left w:val="nil"/>
              <w:bottom w:val="single" w:sz="4" w:space="0" w:color="auto"/>
              <w:right w:val="single" w:sz="4" w:space="0" w:color="auto"/>
            </w:tcBorders>
            <w:shd w:val="clear" w:color="auto" w:fill="auto"/>
            <w:noWrap/>
            <w:vAlign w:val="bottom"/>
            <w:hideMark/>
          </w:tcPr>
          <w:p w14:paraId="7D0887E2"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0.3</w:t>
            </w:r>
          </w:p>
        </w:tc>
      </w:tr>
      <w:tr w:rsidR="00442654" w:rsidRPr="00442654" w14:paraId="75DF05FE" w14:textId="77777777" w:rsidTr="00C04FEC">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21C357D3" w14:textId="77777777" w:rsidR="00442654" w:rsidRPr="00442654" w:rsidRDefault="00442654" w:rsidP="00442654">
            <w:pPr>
              <w:spacing w:after="0" w:line="240" w:lineRule="auto"/>
              <w:rPr>
                <w:rFonts w:ascii="Calibri" w:eastAsia="Times New Roman" w:hAnsi="Calibri" w:cs="Calibri"/>
                <w:color w:val="000000"/>
              </w:rPr>
            </w:pPr>
            <w:r w:rsidRPr="00442654">
              <w:rPr>
                <w:rFonts w:ascii="Calibri" w:eastAsia="Times New Roman" w:hAnsi="Calibri" w:cs="Calibri"/>
                <w:color w:val="000000"/>
              </w:rPr>
              <w:t>Language other than English</w:t>
            </w:r>
          </w:p>
        </w:tc>
        <w:tc>
          <w:tcPr>
            <w:tcW w:w="1320" w:type="dxa"/>
            <w:tcBorders>
              <w:top w:val="nil"/>
              <w:left w:val="nil"/>
              <w:bottom w:val="single" w:sz="4" w:space="0" w:color="auto"/>
              <w:right w:val="single" w:sz="4" w:space="0" w:color="auto"/>
            </w:tcBorders>
            <w:shd w:val="clear" w:color="auto" w:fill="auto"/>
            <w:noWrap/>
            <w:vAlign w:val="bottom"/>
            <w:hideMark/>
          </w:tcPr>
          <w:p w14:paraId="5E0D0015"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108802</w:t>
            </w:r>
          </w:p>
        </w:tc>
        <w:tc>
          <w:tcPr>
            <w:tcW w:w="1540" w:type="dxa"/>
            <w:tcBorders>
              <w:top w:val="nil"/>
              <w:left w:val="nil"/>
              <w:bottom w:val="single" w:sz="4" w:space="0" w:color="auto"/>
              <w:right w:val="single" w:sz="4" w:space="0" w:color="auto"/>
            </w:tcBorders>
            <w:shd w:val="clear" w:color="auto" w:fill="auto"/>
            <w:noWrap/>
            <w:vAlign w:val="bottom"/>
            <w:hideMark/>
          </w:tcPr>
          <w:p w14:paraId="33C91BF1"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2597</w:t>
            </w:r>
          </w:p>
        </w:tc>
        <w:tc>
          <w:tcPr>
            <w:tcW w:w="1320" w:type="dxa"/>
            <w:tcBorders>
              <w:top w:val="nil"/>
              <w:left w:val="nil"/>
              <w:bottom w:val="single" w:sz="4" w:space="0" w:color="auto"/>
              <w:right w:val="single" w:sz="4" w:space="0" w:color="auto"/>
            </w:tcBorders>
            <w:shd w:val="clear" w:color="auto" w:fill="auto"/>
            <w:noWrap/>
            <w:vAlign w:val="bottom"/>
            <w:hideMark/>
          </w:tcPr>
          <w:p w14:paraId="4541BF1F"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13.7</w:t>
            </w:r>
          </w:p>
        </w:tc>
        <w:tc>
          <w:tcPr>
            <w:tcW w:w="1720" w:type="dxa"/>
            <w:tcBorders>
              <w:top w:val="nil"/>
              <w:left w:val="nil"/>
              <w:bottom w:val="single" w:sz="4" w:space="0" w:color="auto"/>
              <w:right w:val="single" w:sz="4" w:space="0" w:color="auto"/>
            </w:tcBorders>
            <w:shd w:val="clear" w:color="auto" w:fill="auto"/>
            <w:noWrap/>
            <w:vAlign w:val="bottom"/>
            <w:hideMark/>
          </w:tcPr>
          <w:p w14:paraId="064DE88C"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0.3</w:t>
            </w:r>
          </w:p>
        </w:tc>
      </w:tr>
      <w:tr w:rsidR="00442654" w:rsidRPr="00442654" w14:paraId="388B823A" w14:textId="77777777" w:rsidTr="00C04FEC">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07F5D7E4" w14:textId="77777777" w:rsidR="00442654" w:rsidRPr="00442654" w:rsidRDefault="00442654" w:rsidP="00442654">
            <w:pPr>
              <w:spacing w:after="0" w:line="240" w:lineRule="auto"/>
              <w:rPr>
                <w:rFonts w:ascii="Calibri" w:eastAsia="Times New Roman" w:hAnsi="Calibri" w:cs="Calibri"/>
                <w:color w:val="000000"/>
              </w:rPr>
            </w:pPr>
            <w:r w:rsidRPr="00442654">
              <w:rPr>
                <w:rFonts w:ascii="Calibri" w:eastAsia="Times New Roman" w:hAnsi="Calibri" w:cs="Calibri"/>
                <w:color w:val="000000"/>
              </w:rPr>
              <w:t>Speak English less than "very well"</w:t>
            </w:r>
          </w:p>
        </w:tc>
        <w:tc>
          <w:tcPr>
            <w:tcW w:w="1320" w:type="dxa"/>
            <w:tcBorders>
              <w:top w:val="nil"/>
              <w:left w:val="nil"/>
              <w:bottom w:val="single" w:sz="4" w:space="0" w:color="auto"/>
              <w:right w:val="single" w:sz="4" w:space="0" w:color="auto"/>
            </w:tcBorders>
            <w:shd w:val="clear" w:color="auto" w:fill="auto"/>
            <w:noWrap/>
            <w:vAlign w:val="bottom"/>
            <w:hideMark/>
          </w:tcPr>
          <w:p w14:paraId="7D67E79E"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49914</w:t>
            </w:r>
          </w:p>
        </w:tc>
        <w:tc>
          <w:tcPr>
            <w:tcW w:w="1540" w:type="dxa"/>
            <w:tcBorders>
              <w:top w:val="nil"/>
              <w:left w:val="nil"/>
              <w:bottom w:val="single" w:sz="4" w:space="0" w:color="auto"/>
              <w:right w:val="single" w:sz="4" w:space="0" w:color="auto"/>
            </w:tcBorders>
            <w:shd w:val="clear" w:color="auto" w:fill="auto"/>
            <w:noWrap/>
            <w:vAlign w:val="bottom"/>
            <w:hideMark/>
          </w:tcPr>
          <w:p w14:paraId="162D9588"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1874</w:t>
            </w:r>
          </w:p>
        </w:tc>
        <w:tc>
          <w:tcPr>
            <w:tcW w:w="1320" w:type="dxa"/>
            <w:tcBorders>
              <w:top w:val="nil"/>
              <w:left w:val="nil"/>
              <w:bottom w:val="single" w:sz="4" w:space="0" w:color="auto"/>
              <w:right w:val="single" w:sz="4" w:space="0" w:color="auto"/>
            </w:tcBorders>
            <w:shd w:val="clear" w:color="auto" w:fill="auto"/>
            <w:noWrap/>
            <w:vAlign w:val="bottom"/>
            <w:hideMark/>
          </w:tcPr>
          <w:p w14:paraId="6DCE4311"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6.3</w:t>
            </w:r>
          </w:p>
        </w:tc>
        <w:tc>
          <w:tcPr>
            <w:tcW w:w="1720" w:type="dxa"/>
            <w:tcBorders>
              <w:top w:val="nil"/>
              <w:left w:val="nil"/>
              <w:bottom w:val="single" w:sz="4" w:space="0" w:color="auto"/>
              <w:right w:val="single" w:sz="4" w:space="0" w:color="auto"/>
            </w:tcBorders>
            <w:shd w:val="clear" w:color="auto" w:fill="auto"/>
            <w:noWrap/>
            <w:vAlign w:val="bottom"/>
            <w:hideMark/>
          </w:tcPr>
          <w:p w14:paraId="1CEFDA04"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0.2</w:t>
            </w:r>
          </w:p>
        </w:tc>
      </w:tr>
      <w:tr w:rsidR="00442654" w:rsidRPr="00442654" w14:paraId="49CAD449" w14:textId="77777777" w:rsidTr="00C04FEC">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B0FBC71" w14:textId="77777777" w:rsidR="00442654" w:rsidRPr="00442654" w:rsidRDefault="00442654" w:rsidP="00442654">
            <w:pPr>
              <w:spacing w:after="0" w:line="240" w:lineRule="auto"/>
              <w:rPr>
                <w:rFonts w:ascii="Calibri" w:eastAsia="Times New Roman" w:hAnsi="Calibri" w:cs="Calibri"/>
                <w:color w:val="000000"/>
              </w:rPr>
            </w:pPr>
            <w:r w:rsidRPr="00442654">
              <w:rPr>
                <w:rFonts w:ascii="Calibri" w:eastAsia="Times New Roman" w:hAnsi="Calibri" w:cs="Calibri"/>
                <w:color w:val="000000"/>
              </w:rPr>
              <w:t>Spanish</w:t>
            </w:r>
          </w:p>
        </w:tc>
        <w:tc>
          <w:tcPr>
            <w:tcW w:w="1320" w:type="dxa"/>
            <w:tcBorders>
              <w:top w:val="nil"/>
              <w:left w:val="nil"/>
              <w:bottom w:val="single" w:sz="4" w:space="0" w:color="auto"/>
              <w:right w:val="single" w:sz="4" w:space="0" w:color="auto"/>
            </w:tcBorders>
            <w:shd w:val="clear" w:color="auto" w:fill="auto"/>
            <w:noWrap/>
            <w:vAlign w:val="bottom"/>
            <w:hideMark/>
          </w:tcPr>
          <w:p w14:paraId="05BD1EEF"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67538</w:t>
            </w:r>
          </w:p>
        </w:tc>
        <w:tc>
          <w:tcPr>
            <w:tcW w:w="1540" w:type="dxa"/>
            <w:tcBorders>
              <w:top w:val="nil"/>
              <w:left w:val="nil"/>
              <w:bottom w:val="single" w:sz="4" w:space="0" w:color="auto"/>
              <w:right w:val="single" w:sz="4" w:space="0" w:color="auto"/>
            </w:tcBorders>
            <w:shd w:val="clear" w:color="auto" w:fill="auto"/>
            <w:noWrap/>
            <w:vAlign w:val="bottom"/>
            <w:hideMark/>
          </w:tcPr>
          <w:p w14:paraId="43586F2C"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1841</w:t>
            </w:r>
          </w:p>
        </w:tc>
        <w:tc>
          <w:tcPr>
            <w:tcW w:w="1320" w:type="dxa"/>
            <w:tcBorders>
              <w:top w:val="nil"/>
              <w:left w:val="nil"/>
              <w:bottom w:val="single" w:sz="4" w:space="0" w:color="auto"/>
              <w:right w:val="single" w:sz="4" w:space="0" w:color="auto"/>
            </w:tcBorders>
            <w:shd w:val="clear" w:color="auto" w:fill="auto"/>
            <w:noWrap/>
            <w:vAlign w:val="bottom"/>
            <w:hideMark/>
          </w:tcPr>
          <w:p w14:paraId="32ADB53D"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8.5</w:t>
            </w:r>
          </w:p>
        </w:tc>
        <w:tc>
          <w:tcPr>
            <w:tcW w:w="1720" w:type="dxa"/>
            <w:tcBorders>
              <w:top w:val="nil"/>
              <w:left w:val="nil"/>
              <w:bottom w:val="single" w:sz="4" w:space="0" w:color="auto"/>
              <w:right w:val="single" w:sz="4" w:space="0" w:color="auto"/>
            </w:tcBorders>
            <w:shd w:val="clear" w:color="auto" w:fill="auto"/>
            <w:noWrap/>
            <w:vAlign w:val="bottom"/>
            <w:hideMark/>
          </w:tcPr>
          <w:p w14:paraId="4D0EBF39"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0.2</w:t>
            </w:r>
          </w:p>
        </w:tc>
      </w:tr>
      <w:tr w:rsidR="00442654" w:rsidRPr="00442654" w14:paraId="1A48BF0C" w14:textId="77777777" w:rsidTr="00C04FEC">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053EC18D" w14:textId="77777777" w:rsidR="00442654" w:rsidRPr="00442654" w:rsidRDefault="00442654" w:rsidP="00442654">
            <w:pPr>
              <w:spacing w:after="0" w:line="240" w:lineRule="auto"/>
              <w:rPr>
                <w:rFonts w:ascii="Calibri" w:eastAsia="Times New Roman" w:hAnsi="Calibri" w:cs="Calibri"/>
                <w:color w:val="000000"/>
              </w:rPr>
            </w:pPr>
            <w:r w:rsidRPr="00442654">
              <w:rPr>
                <w:rFonts w:ascii="Calibri" w:eastAsia="Times New Roman" w:hAnsi="Calibri" w:cs="Calibri"/>
                <w:color w:val="000000"/>
              </w:rPr>
              <w:t>Speak English less than "very well"</w:t>
            </w:r>
          </w:p>
        </w:tc>
        <w:tc>
          <w:tcPr>
            <w:tcW w:w="1320" w:type="dxa"/>
            <w:tcBorders>
              <w:top w:val="nil"/>
              <w:left w:val="nil"/>
              <w:bottom w:val="single" w:sz="4" w:space="0" w:color="auto"/>
              <w:right w:val="single" w:sz="4" w:space="0" w:color="auto"/>
            </w:tcBorders>
            <w:shd w:val="clear" w:color="auto" w:fill="auto"/>
            <w:noWrap/>
            <w:vAlign w:val="bottom"/>
            <w:hideMark/>
          </w:tcPr>
          <w:p w14:paraId="5393E735"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31531</w:t>
            </w:r>
          </w:p>
        </w:tc>
        <w:tc>
          <w:tcPr>
            <w:tcW w:w="1540" w:type="dxa"/>
            <w:tcBorders>
              <w:top w:val="nil"/>
              <w:left w:val="nil"/>
              <w:bottom w:val="single" w:sz="4" w:space="0" w:color="auto"/>
              <w:right w:val="single" w:sz="4" w:space="0" w:color="auto"/>
            </w:tcBorders>
            <w:shd w:val="clear" w:color="auto" w:fill="auto"/>
            <w:noWrap/>
            <w:vAlign w:val="bottom"/>
            <w:hideMark/>
          </w:tcPr>
          <w:p w14:paraId="6C19C3CD"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1498</w:t>
            </w:r>
          </w:p>
        </w:tc>
        <w:tc>
          <w:tcPr>
            <w:tcW w:w="1320" w:type="dxa"/>
            <w:tcBorders>
              <w:top w:val="nil"/>
              <w:left w:val="nil"/>
              <w:bottom w:val="single" w:sz="4" w:space="0" w:color="auto"/>
              <w:right w:val="single" w:sz="4" w:space="0" w:color="auto"/>
            </w:tcBorders>
            <w:shd w:val="clear" w:color="auto" w:fill="auto"/>
            <w:noWrap/>
            <w:vAlign w:val="bottom"/>
            <w:hideMark/>
          </w:tcPr>
          <w:p w14:paraId="337990BA"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4</w:t>
            </w:r>
          </w:p>
        </w:tc>
        <w:tc>
          <w:tcPr>
            <w:tcW w:w="1720" w:type="dxa"/>
            <w:tcBorders>
              <w:top w:val="nil"/>
              <w:left w:val="nil"/>
              <w:bottom w:val="single" w:sz="4" w:space="0" w:color="auto"/>
              <w:right w:val="single" w:sz="4" w:space="0" w:color="auto"/>
            </w:tcBorders>
            <w:shd w:val="clear" w:color="auto" w:fill="auto"/>
            <w:noWrap/>
            <w:vAlign w:val="bottom"/>
            <w:hideMark/>
          </w:tcPr>
          <w:p w14:paraId="59B1EFC8"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0.2</w:t>
            </w:r>
          </w:p>
        </w:tc>
      </w:tr>
      <w:tr w:rsidR="00442654" w:rsidRPr="00442654" w14:paraId="59E060C3" w14:textId="77777777" w:rsidTr="00C04FEC">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73D5FEB5" w14:textId="77777777" w:rsidR="00442654" w:rsidRPr="00442654" w:rsidRDefault="00442654" w:rsidP="00442654">
            <w:pPr>
              <w:spacing w:after="0" w:line="240" w:lineRule="auto"/>
              <w:rPr>
                <w:rFonts w:ascii="Calibri" w:eastAsia="Times New Roman" w:hAnsi="Calibri" w:cs="Calibri"/>
                <w:color w:val="000000"/>
              </w:rPr>
            </w:pPr>
            <w:r w:rsidRPr="00442654">
              <w:rPr>
                <w:rFonts w:ascii="Calibri" w:eastAsia="Times New Roman" w:hAnsi="Calibri" w:cs="Calibri"/>
                <w:color w:val="000000"/>
              </w:rPr>
              <w:t>Other Indo-European languages</w:t>
            </w:r>
          </w:p>
        </w:tc>
        <w:tc>
          <w:tcPr>
            <w:tcW w:w="1320" w:type="dxa"/>
            <w:tcBorders>
              <w:top w:val="nil"/>
              <w:left w:val="nil"/>
              <w:bottom w:val="single" w:sz="4" w:space="0" w:color="auto"/>
              <w:right w:val="single" w:sz="4" w:space="0" w:color="auto"/>
            </w:tcBorders>
            <w:shd w:val="clear" w:color="auto" w:fill="auto"/>
            <w:noWrap/>
            <w:vAlign w:val="bottom"/>
            <w:hideMark/>
          </w:tcPr>
          <w:p w14:paraId="73994D4D"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12747</w:t>
            </w:r>
          </w:p>
        </w:tc>
        <w:tc>
          <w:tcPr>
            <w:tcW w:w="1540" w:type="dxa"/>
            <w:tcBorders>
              <w:top w:val="nil"/>
              <w:left w:val="nil"/>
              <w:bottom w:val="single" w:sz="4" w:space="0" w:color="auto"/>
              <w:right w:val="single" w:sz="4" w:space="0" w:color="auto"/>
            </w:tcBorders>
            <w:shd w:val="clear" w:color="auto" w:fill="auto"/>
            <w:noWrap/>
            <w:vAlign w:val="bottom"/>
            <w:hideMark/>
          </w:tcPr>
          <w:p w14:paraId="5B37845F"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1200</w:t>
            </w:r>
          </w:p>
        </w:tc>
        <w:tc>
          <w:tcPr>
            <w:tcW w:w="1320" w:type="dxa"/>
            <w:tcBorders>
              <w:top w:val="nil"/>
              <w:left w:val="nil"/>
              <w:bottom w:val="single" w:sz="4" w:space="0" w:color="auto"/>
              <w:right w:val="single" w:sz="4" w:space="0" w:color="auto"/>
            </w:tcBorders>
            <w:shd w:val="clear" w:color="auto" w:fill="auto"/>
            <w:noWrap/>
            <w:vAlign w:val="bottom"/>
            <w:hideMark/>
          </w:tcPr>
          <w:p w14:paraId="7BDE2506"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1.6</w:t>
            </w:r>
          </w:p>
        </w:tc>
        <w:tc>
          <w:tcPr>
            <w:tcW w:w="1720" w:type="dxa"/>
            <w:tcBorders>
              <w:top w:val="nil"/>
              <w:left w:val="nil"/>
              <w:bottom w:val="single" w:sz="4" w:space="0" w:color="auto"/>
              <w:right w:val="single" w:sz="4" w:space="0" w:color="auto"/>
            </w:tcBorders>
            <w:shd w:val="clear" w:color="auto" w:fill="auto"/>
            <w:noWrap/>
            <w:vAlign w:val="bottom"/>
            <w:hideMark/>
          </w:tcPr>
          <w:p w14:paraId="143F4255"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0.2</w:t>
            </w:r>
          </w:p>
        </w:tc>
      </w:tr>
      <w:tr w:rsidR="00442654" w:rsidRPr="00442654" w14:paraId="040E4784" w14:textId="77777777" w:rsidTr="00C04FEC">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0FED074A" w14:textId="77777777" w:rsidR="00442654" w:rsidRPr="00442654" w:rsidRDefault="00442654" w:rsidP="00442654">
            <w:pPr>
              <w:spacing w:after="0" w:line="240" w:lineRule="auto"/>
              <w:rPr>
                <w:rFonts w:ascii="Calibri" w:eastAsia="Times New Roman" w:hAnsi="Calibri" w:cs="Calibri"/>
                <w:color w:val="000000"/>
              </w:rPr>
            </w:pPr>
            <w:r w:rsidRPr="00442654">
              <w:rPr>
                <w:rFonts w:ascii="Calibri" w:eastAsia="Times New Roman" w:hAnsi="Calibri" w:cs="Calibri"/>
                <w:color w:val="000000"/>
              </w:rPr>
              <w:t>Speak English less than "very well"</w:t>
            </w:r>
          </w:p>
        </w:tc>
        <w:tc>
          <w:tcPr>
            <w:tcW w:w="1320" w:type="dxa"/>
            <w:tcBorders>
              <w:top w:val="nil"/>
              <w:left w:val="nil"/>
              <w:bottom w:val="single" w:sz="4" w:space="0" w:color="auto"/>
              <w:right w:val="single" w:sz="4" w:space="0" w:color="auto"/>
            </w:tcBorders>
            <w:shd w:val="clear" w:color="auto" w:fill="auto"/>
            <w:noWrap/>
            <w:vAlign w:val="bottom"/>
            <w:hideMark/>
          </w:tcPr>
          <w:p w14:paraId="133D4B52"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3986</w:t>
            </w:r>
          </w:p>
        </w:tc>
        <w:tc>
          <w:tcPr>
            <w:tcW w:w="1540" w:type="dxa"/>
            <w:tcBorders>
              <w:top w:val="nil"/>
              <w:left w:val="nil"/>
              <w:bottom w:val="single" w:sz="4" w:space="0" w:color="auto"/>
              <w:right w:val="single" w:sz="4" w:space="0" w:color="auto"/>
            </w:tcBorders>
            <w:shd w:val="clear" w:color="auto" w:fill="auto"/>
            <w:noWrap/>
            <w:vAlign w:val="bottom"/>
            <w:hideMark/>
          </w:tcPr>
          <w:p w14:paraId="317F4D6D"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659</w:t>
            </w:r>
          </w:p>
        </w:tc>
        <w:tc>
          <w:tcPr>
            <w:tcW w:w="1320" w:type="dxa"/>
            <w:tcBorders>
              <w:top w:val="nil"/>
              <w:left w:val="nil"/>
              <w:bottom w:val="single" w:sz="4" w:space="0" w:color="auto"/>
              <w:right w:val="single" w:sz="4" w:space="0" w:color="auto"/>
            </w:tcBorders>
            <w:shd w:val="clear" w:color="auto" w:fill="auto"/>
            <w:noWrap/>
            <w:vAlign w:val="bottom"/>
            <w:hideMark/>
          </w:tcPr>
          <w:p w14:paraId="7BCA10C2"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0.5</w:t>
            </w:r>
          </w:p>
        </w:tc>
        <w:tc>
          <w:tcPr>
            <w:tcW w:w="1720" w:type="dxa"/>
            <w:tcBorders>
              <w:top w:val="nil"/>
              <w:left w:val="nil"/>
              <w:bottom w:val="single" w:sz="4" w:space="0" w:color="auto"/>
              <w:right w:val="single" w:sz="4" w:space="0" w:color="auto"/>
            </w:tcBorders>
            <w:shd w:val="clear" w:color="auto" w:fill="auto"/>
            <w:noWrap/>
            <w:vAlign w:val="bottom"/>
            <w:hideMark/>
          </w:tcPr>
          <w:p w14:paraId="11F1CB3B"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0.1</w:t>
            </w:r>
          </w:p>
        </w:tc>
      </w:tr>
      <w:tr w:rsidR="00442654" w:rsidRPr="00442654" w14:paraId="5CBAA20F" w14:textId="77777777" w:rsidTr="00C04FEC">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32DA4575" w14:textId="77777777" w:rsidR="00442654" w:rsidRPr="00442654" w:rsidRDefault="00442654" w:rsidP="00442654">
            <w:pPr>
              <w:spacing w:after="0" w:line="240" w:lineRule="auto"/>
              <w:rPr>
                <w:rFonts w:ascii="Calibri" w:eastAsia="Times New Roman" w:hAnsi="Calibri" w:cs="Calibri"/>
                <w:color w:val="000000"/>
              </w:rPr>
            </w:pPr>
            <w:r w:rsidRPr="00442654">
              <w:rPr>
                <w:rFonts w:ascii="Calibri" w:eastAsia="Times New Roman" w:hAnsi="Calibri" w:cs="Calibri"/>
                <w:color w:val="000000"/>
              </w:rPr>
              <w:t>Asian and Pacific Islander languages</w:t>
            </w:r>
          </w:p>
        </w:tc>
        <w:tc>
          <w:tcPr>
            <w:tcW w:w="1320" w:type="dxa"/>
            <w:tcBorders>
              <w:top w:val="nil"/>
              <w:left w:val="nil"/>
              <w:bottom w:val="single" w:sz="4" w:space="0" w:color="auto"/>
              <w:right w:val="single" w:sz="4" w:space="0" w:color="auto"/>
            </w:tcBorders>
            <w:shd w:val="clear" w:color="auto" w:fill="auto"/>
            <w:noWrap/>
            <w:vAlign w:val="bottom"/>
            <w:hideMark/>
          </w:tcPr>
          <w:p w14:paraId="7AA75D50"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17007</w:t>
            </w:r>
          </w:p>
        </w:tc>
        <w:tc>
          <w:tcPr>
            <w:tcW w:w="1540" w:type="dxa"/>
            <w:tcBorders>
              <w:top w:val="nil"/>
              <w:left w:val="nil"/>
              <w:bottom w:val="single" w:sz="4" w:space="0" w:color="auto"/>
              <w:right w:val="single" w:sz="4" w:space="0" w:color="auto"/>
            </w:tcBorders>
            <w:shd w:val="clear" w:color="auto" w:fill="auto"/>
            <w:noWrap/>
            <w:vAlign w:val="bottom"/>
            <w:hideMark/>
          </w:tcPr>
          <w:p w14:paraId="01B3AEAB"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1113</w:t>
            </w:r>
          </w:p>
        </w:tc>
        <w:tc>
          <w:tcPr>
            <w:tcW w:w="1320" w:type="dxa"/>
            <w:tcBorders>
              <w:top w:val="nil"/>
              <w:left w:val="nil"/>
              <w:bottom w:val="single" w:sz="4" w:space="0" w:color="auto"/>
              <w:right w:val="single" w:sz="4" w:space="0" w:color="auto"/>
            </w:tcBorders>
            <w:shd w:val="clear" w:color="auto" w:fill="auto"/>
            <w:noWrap/>
            <w:vAlign w:val="bottom"/>
            <w:hideMark/>
          </w:tcPr>
          <w:p w14:paraId="6540791C"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2.1</w:t>
            </w:r>
          </w:p>
        </w:tc>
        <w:tc>
          <w:tcPr>
            <w:tcW w:w="1720" w:type="dxa"/>
            <w:tcBorders>
              <w:top w:val="nil"/>
              <w:left w:val="nil"/>
              <w:bottom w:val="single" w:sz="4" w:space="0" w:color="auto"/>
              <w:right w:val="single" w:sz="4" w:space="0" w:color="auto"/>
            </w:tcBorders>
            <w:shd w:val="clear" w:color="auto" w:fill="auto"/>
            <w:noWrap/>
            <w:vAlign w:val="bottom"/>
            <w:hideMark/>
          </w:tcPr>
          <w:p w14:paraId="757320B4"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0.1</w:t>
            </w:r>
          </w:p>
        </w:tc>
      </w:tr>
      <w:tr w:rsidR="00442654" w:rsidRPr="00442654" w14:paraId="1D90F9F3" w14:textId="77777777" w:rsidTr="00C04FEC">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7EE7FF46" w14:textId="77777777" w:rsidR="00442654" w:rsidRPr="00442654" w:rsidRDefault="00442654" w:rsidP="00442654">
            <w:pPr>
              <w:spacing w:after="0" w:line="240" w:lineRule="auto"/>
              <w:rPr>
                <w:rFonts w:ascii="Calibri" w:eastAsia="Times New Roman" w:hAnsi="Calibri" w:cs="Calibri"/>
                <w:color w:val="000000"/>
              </w:rPr>
            </w:pPr>
            <w:r w:rsidRPr="00442654">
              <w:rPr>
                <w:rFonts w:ascii="Calibri" w:eastAsia="Times New Roman" w:hAnsi="Calibri" w:cs="Calibri"/>
                <w:color w:val="000000"/>
              </w:rPr>
              <w:t>Speak English less than "very well"</w:t>
            </w:r>
          </w:p>
        </w:tc>
        <w:tc>
          <w:tcPr>
            <w:tcW w:w="1320" w:type="dxa"/>
            <w:tcBorders>
              <w:top w:val="nil"/>
              <w:left w:val="nil"/>
              <w:bottom w:val="single" w:sz="4" w:space="0" w:color="auto"/>
              <w:right w:val="single" w:sz="4" w:space="0" w:color="auto"/>
            </w:tcBorders>
            <w:shd w:val="clear" w:color="auto" w:fill="auto"/>
            <w:noWrap/>
            <w:vAlign w:val="bottom"/>
            <w:hideMark/>
          </w:tcPr>
          <w:p w14:paraId="25391ADD"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10241</w:t>
            </w:r>
          </w:p>
        </w:tc>
        <w:tc>
          <w:tcPr>
            <w:tcW w:w="1540" w:type="dxa"/>
            <w:tcBorders>
              <w:top w:val="nil"/>
              <w:left w:val="nil"/>
              <w:bottom w:val="single" w:sz="4" w:space="0" w:color="auto"/>
              <w:right w:val="single" w:sz="4" w:space="0" w:color="auto"/>
            </w:tcBorders>
            <w:shd w:val="clear" w:color="auto" w:fill="auto"/>
            <w:noWrap/>
            <w:vAlign w:val="bottom"/>
            <w:hideMark/>
          </w:tcPr>
          <w:p w14:paraId="1AC862A2"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991</w:t>
            </w:r>
          </w:p>
        </w:tc>
        <w:tc>
          <w:tcPr>
            <w:tcW w:w="1320" w:type="dxa"/>
            <w:tcBorders>
              <w:top w:val="nil"/>
              <w:left w:val="nil"/>
              <w:bottom w:val="single" w:sz="4" w:space="0" w:color="auto"/>
              <w:right w:val="single" w:sz="4" w:space="0" w:color="auto"/>
            </w:tcBorders>
            <w:shd w:val="clear" w:color="auto" w:fill="auto"/>
            <w:noWrap/>
            <w:vAlign w:val="bottom"/>
            <w:hideMark/>
          </w:tcPr>
          <w:p w14:paraId="147CAC3B"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1.3</w:t>
            </w:r>
          </w:p>
        </w:tc>
        <w:tc>
          <w:tcPr>
            <w:tcW w:w="1720" w:type="dxa"/>
            <w:tcBorders>
              <w:top w:val="nil"/>
              <w:left w:val="nil"/>
              <w:bottom w:val="single" w:sz="4" w:space="0" w:color="auto"/>
              <w:right w:val="single" w:sz="4" w:space="0" w:color="auto"/>
            </w:tcBorders>
            <w:shd w:val="clear" w:color="auto" w:fill="auto"/>
            <w:noWrap/>
            <w:vAlign w:val="bottom"/>
            <w:hideMark/>
          </w:tcPr>
          <w:p w14:paraId="0DE822F0"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0.1</w:t>
            </w:r>
          </w:p>
        </w:tc>
      </w:tr>
      <w:tr w:rsidR="00442654" w:rsidRPr="00442654" w14:paraId="068146C3" w14:textId="77777777" w:rsidTr="00C04FEC">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DD1B1EC" w14:textId="77777777" w:rsidR="00442654" w:rsidRPr="00442654" w:rsidRDefault="00442654" w:rsidP="00442654">
            <w:pPr>
              <w:spacing w:after="0" w:line="240" w:lineRule="auto"/>
              <w:rPr>
                <w:rFonts w:ascii="Calibri" w:eastAsia="Times New Roman" w:hAnsi="Calibri" w:cs="Calibri"/>
                <w:color w:val="000000"/>
              </w:rPr>
            </w:pPr>
            <w:r w:rsidRPr="00442654">
              <w:rPr>
                <w:rFonts w:ascii="Calibri" w:eastAsia="Times New Roman" w:hAnsi="Calibri" w:cs="Calibri"/>
                <w:color w:val="000000"/>
              </w:rPr>
              <w:t>Other languages</w:t>
            </w:r>
          </w:p>
        </w:tc>
        <w:tc>
          <w:tcPr>
            <w:tcW w:w="1320" w:type="dxa"/>
            <w:tcBorders>
              <w:top w:val="nil"/>
              <w:left w:val="nil"/>
              <w:bottom w:val="single" w:sz="4" w:space="0" w:color="auto"/>
              <w:right w:val="single" w:sz="4" w:space="0" w:color="auto"/>
            </w:tcBorders>
            <w:shd w:val="clear" w:color="auto" w:fill="auto"/>
            <w:noWrap/>
            <w:vAlign w:val="bottom"/>
            <w:hideMark/>
          </w:tcPr>
          <w:p w14:paraId="50A391FC"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11510</w:t>
            </w:r>
          </w:p>
        </w:tc>
        <w:tc>
          <w:tcPr>
            <w:tcW w:w="1540" w:type="dxa"/>
            <w:tcBorders>
              <w:top w:val="nil"/>
              <w:left w:val="nil"/>
              <w:bottom w:val="single" w:sz="4" w:space="0" w:color="auto"/>
              <w:right w:val="single" w:sz="4" w:space="0" w:color="auto"/>
            </w:tcBorders>
            <w:shd w:val="clear" w:color="auto" w:fill="auto"/>
            <w:noWrap/>
            <w:vAlign w:val="bottom"/>
            <w:hideMark/>
          </w:tcPr>
          <w:p w14:paraId="2E2455ED"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1518</w:t>
            </w:r>
          </w:p>
        </w:tc>
        <w:tc>
          <w:tcPr>
            <w:tcW w:w="1320" w:type="dxa"/>
            <w:tcBorders>
              <w:top w:val="nil"/>
              <w:left w:val="nil"/>
              <w:bottom w:val="single" w:sz="4" w:space="0" w:color="auto"/>
              <w:right w:val="single" w:sz="4" w:space="0" w:color="auto"/>
            </w:tcBorders>
            <w:shd w:val="clear" w:color="auto" w:fill="auto"/>
            <w:noWrap/>
            <w:vAlign w:val="bottom"/>
            <w:hideMark/>
          </w:tcPr>
          <w:p w14:paraId="430135B8"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1.4</w:t>
            </w:r>
          </w:p>
        </w:tc>
        <w:tc>
          <w:tcPr>
            <w:tcW w:w="1720" w:type="dxa"/>
            <w:tcBorders>
              <w:top w:val="nil"/>
              <w:left w:val="nil"/>
              <w:bottom w:val="single" w:sz="4" w:space="0" w:color="auto"/>
              <w:right w:val="single" w:sz="4" w:space="0" w:color="auto"/>
            </w:tcBorders>
            <w:shd w:val="clear" w:color="auto" w:fill="auto"/>
            <w:noWrap/>
            <w:vAlign w:val="bottom"/>
            <w:hideMark/>
          </w:tcPr>
          <w:p w14:paraId="2076BEC5"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0.2</w:t>
            </w:r>
          </w:p>
        </w:tc>
      </w:tr>
      <w:tr w:rsidR="00442654" w:rsidRPr="00442654" w14:paraId="4A01DA1F" w14:textId="77777777" w:rsidTr="00C04FEC">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28846D59" w14:textId="77777777" w:rsidR="00442654" w:rsidRPr="00442654" w:rsidRDefault="00442654" w:rsidP="00442654">
            <w:pPr>
              <w:spacing w:after="0" w:line="240" w:lineRule="auto"/>
              <w:rPr>
                <w:rFonts w:ascii="Calibri" w:eastAsia="Times New Roman" w:hAnsi="Calibri" w:cs="Calibri"/>
                <w:color w:val="000000"/>
              </w:rPr>
            </w:pPr>
            <w:r w:rsidRPr="00442654">
              <w:rPr>
                <w:rFonts w:ascii="Calibri" w:eastAsia="Times New Roman" w:hAnsi="Calibri" w:cs="Calibri"/>
                <w:color w:val="000000"/>
              </w:rPr>
              <w:t>Speak English less than "very well"</w:t>
            </w:r>
          </w:p>
        </w:tc>
        <w:tc>
          <w:tcPr>
            <w:tcW w:w="1320" w:type="dxa"/>
            <w:tcBorders>
              <w:top w:val="nil"/>
              <w:left w:val="nil"/>
              <w:bottom w:val="single" w:sz="4" w:space="0" w:color="auto"/>
              <w:right w:val="single" w:sz="4" w:space="0" w:color="auto"/>
            </w:tcBorders>
            <w:shd w:val="clear" w:color="auto" w:fill="auto"/>
            <w:noWrap/>
            <w:vAlign w:val="bottom"/>
            <w:hideMark/>
          </w:tcPr>
          <w:p w14:paraId="7B63C63F"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4156</w:t>
            </w:r>
          </w:p>
        </w:tc>
        <w:tc>
          <w:tcPr>
            <w:tcW w:w="1540" w:type="dxa"/>
            <w:tcBorders>
              <w:top w:val="nil"/>
              <w:left w:val="nil"/>
              <w:bottom w:val="single" w:sz="4" w:space="0" w:color="auto"/>
              <w:right w:val="single" w:sz="4" w:space="0" w:color="auto"/>
            </w:tcBorders>
            <w:shd w:val="clear" w:color="auto" w:fill="auto"/>
            <w:noWrap/>
            <w:vAlign w:val="bottom"/>
            <w:hideMark/>
          </w:tcPr>
          <w:p w14:paraId="3DB953B3"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731</w:t>
            </w:r>
          </w:p>
        </w:tc>
        <w:tc>
          <w:tcPr>
            <w:tcW w:w="1320" w:type="dxa"/>
            <w:tcBorders>
              <w:top w:val="nil"/>
              <w:left w:val="nil"/>
              <w:bottom w:val="single" w:sz="4" w:space="0" w:color="auto"/>
              <w:right w:val="single" w:sz="4" w:space="0" w:color="auto"/>
            </w:tcBorders>
            <w:shd w:val="clear" w:color="auto" w:fill="auto"/>
            <w:noWrap/>
            <w:vAlign w:val="bottom"/>
            <w:hideMark/>
          </w:tcPr>
          <w:p w14:paraId="09CCDAC3"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0.5</w:t>
            </w:r>
          </w:p>
        </w:tc>
        <w:tc>
          <w:tcPr>
            <w:tcW w:w="1720" w:type="dxa"/>
            <w:tcBorders>
              <w:top w:val="nil"/>
              <w:left w:val="nil"/>
              <w:bottom w:val="single" w:sz="4" w:space="0" w:color="auto"/>
              <w:right w:val="single" w:sz="4" w:space="0" w:color="auto"/>
            </w:tcBorders>
            <w:shd w:val="clear" w:color="auto" w:fill="auto"/>
            <w:noWrap/>
            <w:vAlign w:val="bottom"/>
            <w:hideMark/>
          </w:tcPr>
          <w:p w14:paraId="12F1316D" w14:textId="77777777" w:rsidR="00442654" w:rsidRPr="00442654" w:rsidRDefault="00442654" w:rsidP="00442654">
            <w:pPr>
              <w:spacing w:after="0" w:line="240" w:lineRule="auto"/>
              <w:jc w:val="right"/>
              <w:rPr>
                <w:rFonts w:ascii="Calibri" w:eastAsia="Times New Roman" w:hAnsi="Calibri" w:cs="Calibri"/>
                <w:color w:val="000000"/>
              </w:rPr>
            </w:pPr>
            <w:r w:rsidRPr="00442654">
              <w:rPr>
                <w:rFonts w:ascii="Calibri" w:eastAsia="Times New Roman" w:hAnsi="Calibri" w:cs="Calibri"/>
                <w:color w:val="000000"/>
              </w:rPr>
              <w:t>0.1</w:t>
            </w:r>
          </w:p>
        </w:tc>
      </w:tr>
    </w:tbl>
    <w:p w14:paraId="47EFAD8A" w14:textId="77777777" w:rsidR="00817C05" w:rsidRDefault="00817C05" w:rsidP="008F718D">
      <w:pPr>
        <w:rPr>
          <w:u w:val="single"/>
        </w:rPr>
      </w:pPr>
    </w:p>
    <w:p w14:paraId="50E1664B" w14:textId="07542E49" w:rsidR="000570DE" w:rsidRDefault="009C645E" w:rsidP="000570DE">
      <w:r w:rsidRPr="00FF6C18">
        <w:t>F</w:t>
      </w:r>
      <w:r w:rsidR="00DA2410" w:rsidRPr="00FF6C18">
        <w:t>actor No. 2</w:t>
      </w:r>
      <w:r w:rsidR="000570DE" w:rsidRPr="00FF6C18">
        <w:t>. The</w:t>
      </w:r>
      <w:r w:rsidR="000570DE" w:rsidRPr="000570DE">
        <w:t xml:space="preserve"> frequency with which LEP individuals come into contact with the service. </w:t>
      </w:r>
      <w:r w:rsidR="00AE23C4">
        <w:t xml:space="preserve"> CIRTA has not formally tracked the number of interactions between its programs and LEP individuals</w:t>
      </w:r>
      <w:r w:rsidR="00844FDA">
        <w:t>.</w:t>
      </w:r>
      <w:r w:rsidR="007F3F28">
        <w:t xml:space="preserve">  </w:t>
      </w:r>
      <w:r w:rsidR="00887475">
        <w:t xml:space="preserve">CIRTA’s </w:t>
      </w:r>
      <w:r w:rsidR="00FF6C18">
        <w:t xml:space="preserve">will establish as an option during registrations in programs </w:t>
      </w:r>
      <w:r w:rsidR="008D75E3">
        <w:t>offered to</w:t>
      </w:r>
      <w:r w:rsidR="00FF6C18">
        <w:t xml:space="preserve"> identify</w:t>
      </w:r>
      <w:r w:rsidR="00887475">
        <w:t xml:space="preserve"> the number of Spanish-speaking LEP individuals</w:t>
      </w:r>
      <w:r w:rsidR="00FF6C18">
        <w:t>.</w:t>
      </w:r>
      <w:r w:rsidR="00887475">
        <w:t xml:space="preserve"> </w:t>
      </w:r>
    </w:p>
    <w:p w14:paraId="721E18F2" w14:textId="2CE7CACD" w:rsidR="00DA2410" w:rsidRDefault="00DA2410" w:rsidP="00DA2410">
      <w:r>
        <w:t>Factor No. 3</w:t>
      </w:r>
      <w:r w:rsidRPr="009F4A13">
        <w:t>: The nature and importance of service provided by CIRTA.  CIRTA provides reverse commute public transportation, rideshare and transportation-related information and referral services.  Through the provision of these programs, CIRTA transports people to jobs in three suburban communities</w:t>
      </w:r>
      <w:r w:rsidR="0054381D">
        <w:t xml:space="preserve"> coming from within Indianapolis</w:t>
      </w:r>
      <w:r w:rsidR="00467736">
        <w:t xml:space="preserve"> though work force connect programs</w:t>
      </w:r>
      <w:r w:rsidR="0054381D">
        <w:t>. CIRTA</w:t>
      </w:r>
      <w:r w:rsidRPr="009F4A13">
        <w:t xml:space="preserve"> assists people in forming carpools and vanpools, funds vouchers for emergency rides home from work to people who </w:t>
      </w:r>
      <w:r w:rsidR="008D75E3" w:rsidRPr="009F4A13">
        <w:t>rideshare and</w:t>
      </w:r>
      <w:r w:rsidRPr="009F4A13">
        <w:t xml:space="preserve"> provides information about and referrals to other transportation programs and services in Central Indiana.   </w:t>
      </w:r>
    </w:p>
    <w:p w14:paraId="40E05E42" w14:textId="77777777" w:rsidR="00FF6C18" w:rsidRDefault="000570DE" w:rsidP="000570DE">
      <w:r w:rsidRPr="00467736">
        <w:t>Factor No. 4. The</w:t>
      </w:r>
      <w:r w:rsidRPr="000570DE">
        <w:t xml:space="preserve"> resources available to </w:t>
      </w:r>
      <w:r w:rsidR="00AA0037">
        <w:t xml:space="preserve">CIRTA </w:t>
      </w:r>
      <w:r w:rsidRPr="000570DE">
        <w:t xml:space="preserve">to assure meaningful access to </w:t>
      </w:r>
      <w:r w:rsidR="00AA0037">
        <w:t>programs and</w:t>
      </w:r>
      <w:r w:rsidRPr="000570DE">
        <w:t xml:space="preserve"> service</w:t>
      </w:r>
      <w:r w:rsidR="00AA0037">
        <w:t>s</w:t>
      </w:r>
      <w:r w:rsidRPr="000570DE">
        <w:t xml:space="preserve"> b</w:t>
      </w:r>
      <w:r w:rsidR="00643898">
        <w:t xml:space="preserve">y LEP persons.  CIRTA </w:t>
      </w:r>
      <w:r w:rsidR="00467736">
        <w:t>continues</w:t>
      </w:r>
      <w:r w:rsidR="00643898">
        <w:t xml:space="preserve"> to dedicate funding to the translation of web-based and printed materials, and the hiring or contracting of one or more translators, in order to assur</w:t>
      </w:r>
      <w:r w:rsidR="00CF2603">
        <w:t xml:space="preserve">e access by LEP persons.  </w:t>
      </w:r>
    </w:p>
    <w:p w14:paraId="07AFE39E" w14:textId="02C4543D" w:rsidR="000570DE" w:rsidRDefault="00CF2603" w:rsidP="000570DE">
      <w:r>
        <w:t>CIRTA’</w:t>
      </w:r>
      <w:r w:rsidR="007F3F28">
        <w:t>s 20</w:t>
      </w:r>
      <w:r w:rsidR="00467736">
        <w:t>21</w:t>
      </w:r>
      <w:r w:rsidR="007F3F28">
        <w:t xml:space="preserve"> </w:t>
      </w:r>
      <w:r>
        <w:t xml:space="preserve">budget </w:t>
      </w:r>
      <w:r w:rsidR="007F3F28">
        <w:t>i</w:t>
      </w:r>
      <w:r>
        <w:t>s largely</w:t>
      </w:r>
      <w:r w:rsidR="007F3F28">
        <w:t xml:space="preserve"> made up of</w:t>
      </w:r>
      <w:r>
        <w:t xml:space="preserve"> federal grants that support the provision of reverse commute transportation, rideshare services, and a web-based director</w:t>
      </w:r>
      <w:r w:rsidR="007F3F28">
        <w:t>y</w:t>
      </w:r>
      <w:r>
        <w:t xml:space="preserve"> of transportation options.</w:t>
      </w:r>
      <w:r w:rsidR="007F3F28">
        <w:t xml:space="preserve">  </w:t>
      </w:r>
      <w:r w:rsidR="002C6D8C">
        <w:t xml:space="preserve">Due to the size of the organization and limited resources, CIRTA </w:t>
      </w:r>
      <w:r w:rsidR="00467736">
        <w:t>continues to</w:t>
      </w:r>
      <w:r w:rsidR="002C6D8C">
        <w:t xml:space="preserve"> focus its language assistance efforts on extending access for persons speaking Spanish. </w:t>
      </w:r>
      <w:r w:rsidR="00467736">
        <w:t xml:space="preserve">  </w:t>
      </w:r>
      <w:r w:rsidR="00887475">
        <w:t xml:space="preserve">CIRTA’s rideshare program has translated </w:t>
      </w:r>
      <w:r w:rsidR="00467736">
        <w:t>a</w:t>
      </w:r>
      <w:r w:rsidR="00887475">
        <w:t xml:space="preserve"> p</w:t>
      </w:r>
      <w:r w:rsidR="003658CC">
        <w:t xml:space="preserve">rimary brochure into Spanish, has translated a form letter to rideshare participants into Spanish, and has employed one or more Spanish speakers who communicated verbally with Spanish-speaking LEP persons.  Presently, </w:t>
      </w:r>
      <w:r w:rsidR="00817C05">
        <w:t>one</w:t>
      </w:r>
      <w:r w:rsidR="003658CC">
        <w:t xml:space="preserve"> CIRTA employees </w:t>
      </w:r>
      <w:r w:rsidR="00817C05">
        <w:t xml:space="preserve">is bilingual in English and </w:t>
      </w:r>
      <w:r w:rsidR="003658CC">
        <w:t xml:space="preserve">Spanish.   </w:t>
      </w:r>
    </w:p>
    <w:p w14:paraId="009DBBE4" w14:textId="27214773" w:rsidR="00AD6988" w:rsidRDefault="008D75E3" w:rsidP="000570DE">
      <w:r>
        <w:lastRenderedPageBreak/>
        <w:t>Additionally,</w:t>
      </w:r>
      <w:r w:rsidR="00AD6988">
        <w:t xml:space="preserve"> the CRITA website also includes a google translator allowing multi use language conversion in efforts to improve communication </w:t>
      </w:r>
      <w:r w:rsidR="00FF6C18">
        <w:t>opportunit</w:t>
      </w:r>
      <w:r w:rsidR="00CA253A">
        <w:t>i</w:t>
      </w:r>
      <w:r w:rsidR="00FF6C18">
        <w:t>es</w:t>
      </w:r>
      <w:r w:rsidR="00AD6988">
        <w:t xml:space="preserve"> within our passengers and communities.   </w:t>
      </w:r>
    </w:p>
    <w:p w14:paraId="13586D46" w14:textId="77777777" w:rsidR="00CA253A" w:rsidRPr="00CF2603" w:rsidRDefault="00CA253A" w:rsidP="000570DE">
      <w:pPr>
        <w:rPr>
          <w:vertAlign w:val="subscript"/>
        </w:rPr>
      </w:pPr>
    </w:p>
    <w:p w14:paraId="01BBE6DD" w14:textId="77777777" w:rsidR="001A4CFD" w:rsidRDefault="001A4CFD" w:rsidP="008B734A">
      <w:pPr>
        <w:pStyle w:val="ListParagraph"/>
        <w:numPr>
          <w:ilvl w:val="0"/>
          <w:numId w:val="4"/>
        </w:numPr>
        <w:rPr>
          <w:b/>
        </w:rPr>
      </w:pPr>
      <w:r>
        <w:rPr>
          <w:b/>
        </w:rPr>
        <w:t>CIRTA’s Public Participation Program</w:t>
      </w:r>
    </w:p>
    <w:p w14:paraId="2094642F" w14:textId="63B2B43B" w:rsidR="000570DE" w:rsidRDefault="000570DE" w:rsidP="000570DE">
      <w:r w:rsidRPr="000570DE">
        <w:t xml:space="preserve">Recipients and sub-recipients </w:t>
      </w:r>
      <w:r w:rsidR="00B77B7B">
        <w:t xml:space="preserve">of federal funding </w:t>
      </w:r>
      <w:r w:rsidRPr="000570DE">
        <w:t>shall seek out and consider the viewpoints of minority and low-income populations in the course of conducting public outreach</w:t>
      </w:r>
      <w:r w:rsidR="00827577">
        <w:t xml:space="preserve">.  CIRTA will take into consideration the </w:t>
      </w:r>
      <w:r w:rsidR="00F43170">
        <w:t xml:space="preserve">perspectives of the </w:t>
      </w:r>
      <w:r w:rsidR="00827577">
        <w:t xml:space="preserve">minority and low-income population when planning </w:t>
      </w:r>
      <w:r w:rsidR="00942447">
        <w:t xml:space="preserve">significant changes in the operation of </w:t>
      </w:r>
      <w:r w:rsidR="00F65D39">
        <w:t>programs and</w:t>
      </w:r>
      <w:r w:rsidR="00F43170">
        <w:t xml:space="preserve"> </w:t>
      </w:r>
      <w:r w:rsidR="00F65D39">
        <w:t xml:space="preserve">services.  </w:t>
      </w:r>
      <w:r w:rsidR="00E37786">
        <w:t>The 20</w:t>
      </w:r>
      <w:r w:rsidR="00C04FEC">
        <w:t>18</w:t>
      </w:r>
      <w:r w:rsidR="00E37786">
        <w:t xml:space="preserve"> American Community Survey 1-Year Estimates report that the income in the past 12 months of 1</w:t>
      </w:r>
      <w:r w:rsidR="00C04FEC">
        <w:t>9.1</w:t>
      </w:r>
      <w:r w:rsidR="00E37786">
        <w:t>% of Indianapolis-</w:t>
      </w:r>
      <w:r w:rsidR="00C04FEC">
        <w:t>Balance</w:t>
      </w:r>
      <w:r w:rsidR="00E37786">
        <w:t xml:space="preserve"> metropolitan area residents aged 18 and over was below the poverty level.  </w:t>
      </w:r>
      <w:r w:rsidR="00A52CEB">
        <w:t xml:space="preserve">Concerning race and ethnicity, the American Community Survey 1-Year Estimates report that </w:t>
      </w:r>
      <w:r w:rsidR="0054381D">
        <w:t>10.7%</w:t>
      </w:r>
      <w:r w:rsidR="00A52CEB">
        <w:t xml:space="preserve"> of Indianapolis-</w:t>
      </w:r>
      <w:r w:rsidR="0054381D">
        <w:t>Balance</w:t>
      </w:r>
      <w:r w:rsidR="00A52CEB">
        <w:t xml:space="preserve"> metropolitan area </w:t>
      </w:r>
      <w:r w:rsidR="00A53467">
        <w:t>residents were Hispanic</w:t>
      </w:r>
      <w:r w:rsidR="0054381D">
        <w:t>,</w:t>
      </w:r>
      <w:r w:rsidR="00A53467">
        <w:t xml:space="preserve"> </w:t>
      </w:r>
      <w:r w:rsidR="008D75E3">
        <w:t>Latino,</w:t>
      </w:r>
      <w:r w:rsidR="0054381D">
        <w:t xml:space="preserve"> or other</w:t>
      </w:r>
      <w:r w:rsidR="00A53467">
        <w:t xml:space="preserve"> and </w:t>
      </w:r>
      <w:r w:rsidR="0054381D">
        <w:t>28.3%</w:t>
      </w:r>
      <w:r w:rsidR="00A53467">
        <w:t xml:space="preserve"> were Black or </w:t>
      </w:r>
      <w:r w:rsidR="008D75E3">
        <w:t>African American</w:t>
      </w:r>
      <w:r w:rsidR="00A53467">
        <w:t xml:space="preserve">.  </w:t>
      </w:r>
      <w:r w:rsidR="00942447">
        <w:t xml:space="preserve">When planning future significant changes to programs and services, CIRTA will </w:t>
      </w:r>
      <w:r w:rsidR="0054381D">
        <w:t xml:space="preserve">continue to </w:t>
      </w:r>
      <w:r w:rsidR="00942447">
        <w:t>take measures to include the viewpoints of minority and low-income people that may include:</w:t>
      </w:r>
    </w:p>
    <w:p w14:paraId="77D425E1" w14:textId="77777777" w:rsidR="00942447" w:rsidRDefault="00942447" w:rsidP="00942447">
      <w:pPr>
        <w:pStyle w:val="ListParagraph"/>
        <w:numPr>
          <w:ilvl w:val="0"/>
          <w:numId w:val="5"/>
        </w:numPr>
      </w:pPr>
      <w:r>
        <w:t>Surveying of low-income and minority users of CIRTA services</w:t>
      </w:r>
      <w:r w:rsidR="002D2ADE">
        <w:t xml:space="preserve"> through telephone interviews, in-person meetings or onboard surveys</w:t>
      </w:r>
    </w:p>
    <w:p w14:paraId="20BE3289" w14:textId="0E49D705" w:rsidR="00942447" w:rsidRDefault="00942447" w:rsidP="00942447">
      <w:pPr>
        <w:pStyle w:val="ListParagraph"/>
        <w:numPr>
          <w:ilvl w:val="0"/>
          <w:numId w:val="5"/>
        </w:numPr>
      </w:pPr>
      <w:r>
        <w:t xml:space="preserve">Holding </w:t>
      </w:r>
      <w:r w:rsidR="002D2ADE">
        <w:t xml:space="preserve">well-advertised </w:t>
      </w:r>
      <w:r>
        <w:t>public input meetings</w:t>
      </w:r>
      <w:r w:rsidR="002D2ADE">
        <w:t xml:space="preserve"> in venues that are easily accessible to low-income and minority populations </w:t>
      </w:r>
    </w:p>
    <w:p w14:paraId="41CAA2E6" w14:textId="04689869" w:rsidR="00A84A63" w:rsidRDefault="00A84A63" w:rsidP="00942447">
      <w:pPr>
        <w:pStyle w:val="ListParagraph"/>
        <w:numPr>
          <w:ilvl w:val="0"/>
          <w:numId w:val="5"/>
        </w:numPr>
      </w:pPr>
      <w:r>
        <w:t>Holding of bi-monthly board meetings where the public is invited to attend</w:t>
      </w:r>
    </w:p>
    <w:p w14:paraId="3BA566BF" w14:textId="2B79BFC1" w:rsidR="005D5C43" w:rsidRDefault="00942447" w:rsidP="000570DE">
      <w:pPr>
        <w:pStyle w:val="ListParagraph"/>
        <w:numPr>
          <w:ilvl w:val="0"/>
          <w:numId w:val="5"/>
        </w:numPr>
      </w:pPr>
      <w:r>
        <w:t xml:space="preserve">Coordinating with organizations serving </w:t>
      </w:r>
      <w:r w:rsidR="002D2ADE">
        <w:t xml:space="preserve">potentially affected </w:t>
      </w:r>
      <w:r>
        <w:t>low-income and minority individuals</w:t>
      </w:r>
    </w:p>
    <w:p w14:paraId="3BC0C270" w14:textId="77777777" w:rsidR="00FF6C18" w:rsidRDefault="00FF6C18" w:rsidP="00467736">
      <w:pPr>
        <w:rPr>
          <w:b/>
          <w:bCs/>
        </w:rPr>
      </w:pPr>
    </w:p>
    <w:p w14:paraId="53FEA7A5" w14:textId="77777777" w:rsidR="00FF6C18" w:rsidRDefault="00FF6C18" w:rsidP="00467736">
      <w:pPr>
        <w:rPr>
          <w:b/>
          <w:bCs/>
        </w:rPr>
      </w:pPr>
    </w:p>
    <w:p w14:paraId="78BE1F22" w14:textId="6ED2B568" w:rsidR="00467736" w:rsidRDefault="008D75E3" w:rsidP="00467736">
      <w:pPr>
        <w:rPr>
          <w:b/>
          <w:bCs/>
        </w:rPr>
      </w:pPr>
      <w:r w:rsidRPr="00467736">
        <w:rPr>
          <w:b/>
          <w:bCs/>
        </w:rPr>
        <w:t>VII Subcontractors</w:t>
      </w:r>
      <w:r w:rsidR="00467736" w:rsidRPr="00467736">
        <w:rPr>
          <w:b/>
          <w:bCs/>
        </w:rPr>
        <w:t xml:space="preserve"> and Vendors</w:t>
      </w:r>
    </w:p>
    <w:p w14:paraId="0381844C" w14:textId="48DFB67A" w:rsidR="00467736" w:rsidRPr="00A83970" w:rsidRDefault="00467736" w:rsidP="00467736">
      <w:r w:rsidRPr="00A83970">
        <w:t>All subcontractors or Vendors who rec</w:t>
      </w:r>
      <w:r w:rsidR="00A83970" w:rsidRPr="00A83970">
        <w:t>eive</w:t>
      </w:r>
      <w:r w:rsidRPr="00A83970">
        <w:t xml:space="preserve"> payments form CIRTA where funding originates from federal assistance are subje</w:t>
      </w:r>
      <w:r w:rsidR="00A83970" w:rsidRPr="00A83970">
        <w:t>c</w:t>
      </w:r>
      <w:r w:rsidRPr="00A83970">
        <w:t>t to the provisions of Title VI of the Civ</w:t>
      </w:r>
      <w:r w:rsidR="00A83970" w:rsidRPr="00A83970">
        <w:t>i</w:t>
      </w:r>
      <w:r w:rsidRPr="00A83970">
        <w:t xml:space="preserve">l </w:t>
      </w:r>
      <w:r w:rsidR="00A83970" w:rsidRPr="00A83970">
        <w:t>R</w:t>
      </w:r>
      <w:r w:rsidRPr="00A83970">
        <w:t>ights Act of 1964 as amended.</w:t>
      </w:r>
    </w:p>
    <w:p w14:paraId="5F4D67A4" w14:textId="49683A64" w:rsidR="00467736" w:rsidRDefault="00467736" w:rsidP="00467736">
      <w:r w:rsidRPr="00A83970">
        <w:t>Written contract</w:t>
      </w:r>
      <w:r w:rsidR="00A83970" w:rsidRPr="00A83970">
        <w:t>s</w:t>
      </w:r>
      <w:r w:rsidRPr="00A83970">
        <w:t xml:space="preserve"> shall contain</w:t>
      </w:r>
      <w:r w:rsidR="00A83970" w:rsidRPr="00A83970">
        <w:t xml:space="preserve"> non-discrimination language, either directly or through specific bid package which becomes an associated component of the contract. </w:t>
      </w:r>
    </w:p>
    <w:p w14:paraId="3F039AD6" w14:textId="77777777" w:rsidR="00AA5A9A" w:rsidRDefault="00AA5A9A" w:rsidP="00467736">
      <w:pPr>
        <w:rPr>
          <w:b/>
          <w:bCs/>
        </w:rPr>
      </w:pPr>
    </w:p>
    <w:p w14:paraId="2F2CBFAC" w14:textId="77777777" w:rsidR="00AA5A9A" w:rsidRDefault="00AA5A9A" w:rsidP="00467736">
      <w:pPr>
        <w:rPr>
          <w:b/>
          <w:bCs/>
        </w:rPr>
      </w:pPr>
    </w:p>
    <w:p w14:paraId="44B09F3C" w14:textId="77777777" w:rsidR="00AA5A9A" w:rsidRDefault="00AA5A9A" w:rsidP="00467736">
      <w:pPr>
        <w:rPr>
          <w:b/>
          <w:bCs/>
        </w:rPr>
      </w:pPr>
    </w:p>
    <w:p w14:paraId="24701800" w14:textId="77777777" w:rsidR="00AA5A9A" w:rsidRDefault="00AA5A9A" w:rsidP="00467736">
      <w:pPr>
        <w:rPr>
          <w:b/>
          <w:bCs/>
        </w:rPr>
      </w:pPr>
    </w:p>
    <w:p w14:paraId="1C305DA2" w14:textId="77777777" w:rsidR="00AA5A9A" w:rsidRDefault="00AA5A9A" w:rsidP="00467736">
      <w:pPr>
        <w:rPr>
          <w:b/>
          <w:bCs/>
        </w:rPr>
      </w:pPr>
    </w:p>
    <w:p w14:paraId="2F54FE72" w14:textId="77777777" w:rsidR="00CA253A" w:rsidRDefault="00CA253A" w:rsidP="00467736">
      <w:pPr>
        <w:rPr>
          <w:b/>
          <w:bCs/>
        </w:rPr>
      </w:pPr>
    </w:p>
    <w:p w14:paraId="510DF7A8" w14:textId="77777777" w:rsidR="00CA253A" w:rsidRDefault="00CA253A" w:rsidP="00467736">
      <w:pPr>
        <w:rPr>
          <w:b/>
          <w:bCs/>
        </w:rPr>
      </w:pPr>
    </w:p>
    <w:p w14:paraId="59D83250" w14:textId="77777777" w:rsidR="00CA253A" w:rsidRDefault="00CA253A" w:rsidP="00467736">
      <w:pPr>
        <w:rPr>
          <w:b/>
          <w:bCs/>
        </w:rPr>
      </w:pPr>
    </w:p>
    <w:p w14:paraId="17DC1884" w14:textId="77777777" w:rsidR="00CA253A" w:rsidRDefault="00CA253A" w:rsidP="00467736">
      <w:pPr>
        <w:rPr>
          <w:b/>
          <w:bCs/>
        </w:rPr>
      </w:pPr>
    </w:p>
    <w:p w14:paraId="6C001A1E" w14:textId="77777777" w:rsidR="00CA253A" w:rsidRDefault="00CA253A" w:rsidP="00467736">
      <w:pPr>
        <w:rPr>
          <w:b/>
          <w:bCs/>
        </w:rPr>
      </w:pPr>
    </w:p>
    <w:p w14:paraId="3E94E086" w14:textId="71A542C9" w:rsidR="00A83970" w:rsidRDefault="00A83970" w:rsidP="00467736">
      <w:pPr>
        <w:rPr>
          <w:b/>
          <w:bCs/>
        </w:rPr>
      </w:pPr>
      <w:r w:rsidRPr="00A83970">
        <w:rPr>
          <w:b/>
          <w:bCs/>
        </w:rPr>
        <w:t>VIII</w:t>
      </w:r>
      <w:r>
        <w:rPr>
          <w:b/>
          <w:bCs/>
        </w:rPr>
        <w:t xml:space="preserve"> forms</w:t>
      </w:r>
    </w:p>
    <w:p w14:paraId="323451ED" w14:textId="1C37B390" w:rsidR="00AA5A9A" w:rsidRDefault="00AA5A9A" w:rsidP="00467736">
      <w:pPr>
        <w:rPr>
          <w:b/>
          <w:bCs/>
        </w:rPr>
      </w:pPr>
    </w:p>
    <w:p w14:paraId="5E811182" w14:textId="77777777" w:rsidR="00AA5A9A" w:rsidRDefault="00AA5A9A" w:rsidP="00AA5A9A">
      <w:r w:rsidRPr="00D4621A">
        <w:rPr>
          <w:b/>
          <w:bCs/>
          <w:sz w:val="28"/>
          <w:szCs w:val="28"/>
        </w:rPr>
        <w:t>Employee Annual Education Form Title VI Policy</w:t>
      </w:r>
      <w:r>
        <w:t xml:space="preserve"> </w:t>
      </w:r>
    </w:p>
    <w:p w14:paraId="18898A76" w14:textId="7213D1DC" w:rsidR="00AA5A9A" w:rsidRDefault="00AA5A9A" w:rsidP="00AA5A9A">
      <w:r>
        <w:t xml:space="preserve">No person shall, on the grounds of race, </w:t>
      </w:r>
      <w:r w:rsidR="008D75E3">
        <w:t>color,</w:t>
      </w:r>
      <w:r>
        <w:t xml:space="preserve"> or national origin, be excluded from participation in, be denied the benefits of, or be subjected to discrimination under any program or activity receiving federal financial assistance. </w:t>
      </w:r>
    </w:p>
    <w:p w14:paraId="6F91895C" w14:textId="77777777" w:rsidR="00AA5A9A" w:rsidRDefault="00AA5A9A" w:rsidP="00AA5A9A">
      <w:r>
        <w:t>All employees of the Central Indiana Regional Transportation Authority (CIRTA) are expected to consider, respect, and observe this policy in their daily work and duties. If a citizen approaches you with a question or complaint, direct him or her to Title VI Coordinator. In all dealings with citizens, use courtesy titles (</w:t>
      </w:r>
      <w:proofErr w:type="gramStart"/>
      <w:r>
        <w:t>i.e.</w:t>
      </w:r>
      <w:proofErr w:type="gramEnd"/>
      <w:r>
        <w:t xml:space="preserve"> Mr., Mrs., Ms., or Miss) to address them.</w:t>
      </w:r>
    </w:p>
    <w:p w14:paraId="02C3D1DD" w14:textId="43F99FF8" w:rsidR="00AA5A9A" w:rsidRDefault="00AA5A9A" w:rsidP="00AA5A9A">
      <w:r>
        <w:rPr>
          <w:b/>
          <w:bCs/>
          <w:sz w:val="28"/>
          <w:szCs w:val="28"/>
        </w:rPr>
        <w:t xml:space="preserve">FORM 2020 / Employee </w:t>
      </w:r>
      <w:r w:rsidRPr="00D4621A">
        <w:rPr>
          <w:b/>
          <w:bCs/>
          <w:sz w:val="28"/>
          <w:szCs w:val="28"/>
        </w:rPr>
        <w:t>Acknowledgement of Receipt of Title VI Program</w:t>
      </w:r>
    </w:p>
    <w:p w14:paraId="2D56C009" w14:textId="0A6BB547" w:rsidR="00AA5A9A" w:rsidRDefault="00AA5A9A" w:rsidP="00AA5A9A">
      <w:r>
        <w:t xml:space="preserve"> I hereby acknowledge the receipt of the Central Indiana Regional Transportation Authority (</w:t>
      </w:r>
      <w:r w:rsidR="008D75E3">
        <w:t>CIRTA’s) Title</w:t>
      </w:r>
      <w:r>
        <w:t xml:space="preserve"> VI Program. I have read the Program and am committed to ensuring that no person is excluded from participation </w:t>
      </w:r>
      <w:r w:rsidR="008D75E3">
        <w:t>in or</w:t>
      </w:r>
      <w:r>
        <w:t xml:space="preserve"> denied the benefits of its transit services on the basis of race, color, or national origin, as protected by Title VI in Federal Transit Administration (FTA) Circular 4702.1B. </w:t>
      </w:r>
    </w:p>
    <w:p w14:paraId="7411EE50" w14:textId="77777777" w:rsidR="00AA5A9A" w:rsidRDefault="00AA5A9A" w:rsidP="00AA5A9A"/>
    <w:p w14:paraId="6EF06A1F" w14:textId="77777777" w:rsidR="00AA5A9A" w:rsidRDefault="00AA5A9A" w:rsidP="00AA5A9A">
      <w:r>
        <w:t>Your signature _________________________________</w:t>
      </w:r>
    </w:p>
    <w:p w14:paraId="1824193B" w14:textId="77777777" w:rsidR="00AA5A9A" w:rsidRDefault="00AA5A9A" w:rsidP="00AA5A9A"/>
    <w:p w14:paraId="3BE8AA8D" w14:textId="77777777" w:rsidR="00AA5A9A" w:rsidRDefault="00AA5A9A" w:rsidP="00AA5A9A">
      <w:r>
        <w:t>Print your name _________________________________</w:t>
      </w:r>
    </w:p>
    <w:p w14:paraId="67E3ACF3" w14:textId="77777777" w:rsidR="00AA5A9A" w:rsidRDefault="00AA5A9A" w:rsidP="00AA5A9A"/>
    <w:p w14:paraId="246EDC4B" w14:textId="77777777" w:rsidR="00AA5A9A" w:rsidRDefault="00AA5A9A" w:rsidP="00AA5A9A">
      <w:r>
        <w:t>Date___________________</w:t>
      </w:r>
    </w:p>
    <w:p w14:paraId="1FF05336" w14:textId="240F9AF7" w:rsidR="00AA5A9A" w:rsidRDefault="00AA5A9A" w:rsidP="00467736">
      <w:pPr>
        <w:rPr>
          <w:b/>
          <w:bCs/>
        </w:rPr>
      </w:pPr>
    </w:p>
    <w:p w14:paraId="05B8C768" w14:textId="1CC693CF" w:rsidR="00724F1E" w:rsidRDefault="00724F1E" w:rsidP="00467736">
      <w:pPr>
        <w:rPr>
          <w:b/>
          <w:bCs/>
        </w:rPr>
      </w:pPr>
    </w:p>
    <w:p w14:paraId="09213A6E" w14:textId="5ACB3359" w:rsidR="00724F1E" w:rsidRDefault="00724F1E" w:rsidP="00467736">
      <w:pPr>
        <w:rPr>
          <w:b/>
          <w:bCs/>
        </w:rPr>
      </w:pPr>
    </w:p>
    <w:p w14:paraId="407DCFAC" w14:textId="3594DA5E" w:rsidR="00724F1E" w:rsidRDefault="00724F1E" w:rsidP="00467736">
      <w:pPr>
        <w:rPr>
          <w:b/>
          <w:bCs/>
        </w:rPr>
      </w:pPr>
    </w:p>
    <w:p w14:paraId="2A8A1CAB" w14:textId="0F7AA1C4" w:rsidR="00724F1E" w:rsidRDefault="00724F1E" w:rsidP="00467736">
      <w:pPr>
        <w:rPr>
          <w:b/>
          <w:bCs/>
        </w:rPr>
      </w:pPr>
    </w:p>
    <w:p w14:paraId="6E9CA747" w14:textId="0ACA4F26" w:rsidR="00724F1E" w:rsidRDefault="00724F1E" w:rsidP="00467736">
      <w:pPr>
        <w:rPr>
          <w:b/>
          <w:bCs/>
        </w:rPr>
      </w:pPr>
    </w:p>
    <w:p w14:paraId="0E4B1E21" w14:textId="72CF89BD" w:rsidR="00724F1E" w:rsidRDefault="00724F1E" w:rsidP="00467736">
      <w:pPr>
        <w:rPr>
          <w:b/>
          <w:bCs/>
        </w:rPr>
      </w:pPr>
    </w:p>
    <w:p w14:paraId="1EE408E1" w14:textId="2D3564E6" w:rsidR="00724F1E" w:rsidRDefault="00724F1E" w:rsidP="00467736">
      <w:pPr>
        <w:rPr>
          <w:b/>
          <w:bCs/>
        </w:rPr>
      </w:pPr>
    </w:p>
    <w:p w14:paraId="746C9821" w14:textId="05151C42" w:rsidR="00724F1E" w:rsidRDefault="00724F1E" w:rsidP="00467736">
      <w:pPr>
        <w:rPr>
          <w:b/>
          <w:bCs/>
        </w:rPr>
      </w:pPr>
    </w:p>
    <w:p w14:paraId="15E9C39B" w14:textId="4401CA8E" w:rsidR="00724F1E" w:rsidRDefault="00724F1E" w:rsidP="00467736">
      <w:pPr>
        <w:rPr>
          <w:b/>
          <w:bCs/>
        </w:rPr>
      </w:pPr>
    </w:p>
    <w:p w14:paraId="13C47ABC" w14:textId="73A54D45" w:rsidR="00724F1E" w:rsidRDefault="00724F1E" w:rsidP="00467736">
      <w:pPr>
        <w:rPr>
          <w:b/>
          <w:bCs/>
        </w:rPr>
      </w:pPr>
    </w:p>
    <w:p w14:paraId="27923B24" w14:textId="2FF39D49" w:rsidR="00724F1E" w:rsidRDefault="00724F1E" w:rsidP="00467736">
      <w:pPr>
        <w:rPr>
          <w:b/>
          <w:bCs/>
        </w:rPr>
      </w:pPr>
    </w:p>
    <w:sectPr w:rsidR="00724F1E" w:rsidSect="00FF6C18">
      <w:footerReference w:type="default" r:id="rId14"/>
      <w:pgSz w:w="12240" w:h="15840"/>
      <w:pgMar w:top="640" w:right="128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E13D6" w14:textId="77777777" w:rsidR="002021C1" w:rsidRDefault="002021C1" w:rsidP="00F43170">
      <w:pPr>
        <w:spacing w:after="0" w:line="240" w:lineRule="auto"/>
      </w:pPr>
      <w:r>
        <w:separator/>
      </w:r>
    </w:p>
  </w:endnote>
  <w:endnote w:type="continuationSeparator" w:id="0">
    <w:p w14:paraId="32830F6A" w14:textId="77777777" w:rsidR="002021C1" w:rsidRDefault="002021C1" w:rsidP="00F43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oboto Condensed">
    <w:altName w:val="Roboto Condensed"/>
    <w:charset w:val="00"/>
    <w:family w:val="auto"/>
    <w:pitch w:val="variable"/>
    <w:sig w:usb0="E00002FF" w:usb1="5000205B" w:usb2="00000020" w:usb3="00000000" w:csb0="0000019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763119"/>
      <w:docPartObj>
        <w:docPartGallery w:val="Page Numbers (Bottom of Page)"/>
        <w:docPartUnique/>
      </w:docPartObj>
    </w:sdtPr>
    <w:sdtContent>
      <w:sdt>
        <w:sdtPr>
          <w:id w:val="-1669238322"/>
          <w:docPartObj>
            <w:docPartGallery w:val="Page Numbers (Top of Page)"/>
            <w:docPartUnique/>
          </w:docPartObj>
        </w:sdtPr>
        <w:sdtContent>
          <w:p w14:paraId="1F1F25F3" w14:textId="77777777" w:rsidR="00A84A63" w:rsidRDefault="00A84A6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sdtContent>
      </w:sdt>
    </w:sdtContent>
  </w:sdt>
  <w:p w14:paraId="08FF92CE" w14:textId="77777777" w:rsidR="00A84A63" w:rsidRDefault="00A84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0684" w14:textId="77777777" w:rsidR="002021C1" w:rsidRDefault="002021C1" w:rsidP="00F43170">
      <w:pPr>
        <w:spacing w:after="0" w:line="240" w:lineRule="auto"/>
      </w:pPr>
      <w:r>
        <w:separator/>
      </w:r>
    </w:p>
  </w:footnote>
  <w:footnote w:type="continuationSeparator" w:id="0">
    <w:p w14:paraId="2E18E13F" w14:textId="77777777" w:rsidR="002021C1" w:rsidRDefault="002021C1" w:rsidP="00F43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7B75"/>
    <w:multiLevelType w:val="hybridMultilevel"/>
    <w:tmpl w:val="536481AE"/>
    <w:lvl w:ilvl="0" w:tplc="0409000F">
      <w:start w:val="1"/>
      <w:numFmt w:val="decimal"/>
      <w:lvlText w:val="%1."/>
      <w:lvlJc w:val="left"/>
      <w:pPr>
        <w:ind w:left="360" w:hanging="360"/>
      </w:pPr>
      <w:rPr>
        <w:rFonts w:hint="default"/>
      </w:rPr>
    </w:lvl>
    <w:lvl w:ilvl="1" w:tplc="89E492DA">
      <w:numFmt w:val="bullet"/>
      <w:lvlText w:val="•"/>
      <w:lvlJc w:val="left"/>
      <w:pPr>
        <w:ind w:left="1080" w:hanging="360"/>
      </w:pPr>
      <w:rPr>
        <w:rFonts w:ascii="Calibri" w:eastAsiaTheme="minorHAns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B777EE"/>
    <w:multiLevelType w:val="hybridMultilevel"/>
    <w:tmpl w:val="8C82E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4D73B9"/>
    <w:multiLevelType w:val="hybridMultilevel"/>
    <w:tmpl w:val="A6F8F15C"/>
    <w:lvl w:ilvl="0" w:tplc="C1A6B7E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A97A57"/>
    <w:multiLevelType w:val="hybridMultilevel"/>
    <w:tmpl w:val="ABF2D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6B0327"/>
    <w:multiLevelType w:val="hybridMultilevel"/>
    <w:tmpl w:val="3242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E3569"/>
    <w:multiLevelType w:val="hybridMultilevel"/>
    <w:tmpl w:val="8EAA7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018597">
    <w:abstractNumId w:val="5"/>
  </w:num>
  <w:num w:numId="2" w16cid:durableId="453719023">
    <w:abstractNumId w:val="0"/>
  </w:num>
  <w:num w:numId="3" w16cid:durableId="1178082319">
    <w:abstractNumId w:val="1"/>
  </w:num>
  <w:num w:numId="4" w16cid:durableId="142505426">
    <w:abstractNumId w:val="2"/>
  </w:num>
  <w:num w:numId="5" w16cid:durableId="538055211">
    <w:abstractNumId w:val="4"/>
  </w:num>
  <w:num w:numId="6" w16cid:durableId="1354302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20"/>
    <w:rsid w:val="00011F3E"/>
    <w:rsid w:val="00026B71"/>
    <w:rsid w:val="00026D7D"/>
    <w:rsid w:val="000445C9"/>
    <w:rsid w:val="000570DE"/>
    <w:rsid w:val="0007234B"/>
    <w:rsid w:val="000D1651"/>
    <w:rsid w:val="000D3379"/>
    <w:rsid w:val="000F0502"/>
    <w:rsid w:val="0012459F"/>
    <w:rsid w:val="00133507"/>
    <w:rsid w:val="001A4CFD"/>
    <w:rsid w:val="001C2CFA"/>
    <w:rsid w:val="001E098D"/>
    <w:rsid w:val="001F1ECE"/>
    <w:rsid w:val="002021C1"/>
    <w:rsid w:val="00221B52"/>
    <w:rsid w:val="002C28B6"/>
    <w:rsid w:val="002C2FA0"/>
    <w:rsid w:val="002C6D8C"/>
    <w:rsid w:val="002D2ADE"/>
    <w:rsid w:val="002F1A77"/>
    <w:rsid w:val="003460EF"/>
    <w:rsid w:val="00365600"/>
    <w:rsid w:val="003658CC"/>
    <w:rsid w:val="003750B1"/>
    <w:rsid w:val="003A7493"/>
    <w:rsid w:val="003E60DB"/>
    <w:rsid w:val="00421F1F"/>
    <w:rsid w:val="00432808"/>
    <w:rsid w:val="00442216"/>
    <w:rsid w:val="00442654"/>
    <w:rsid w:val="00456DEF"/>
    <w:rsid w:val="00467736"/>
    <w:rsid w:val="00495BE9"/>
    <w:rsid w:val="004A03C1"/>
    <w:rsid w:val="004A5ECF"/>
    <w:rsid w:val="004D69DA"/>
    <w:rsid w:val="005074FD"/>
    <w:rsid w:val="00536223"/>
    <w:rsid w:val="0054381D"/>
    <w:rsid w:val="00550213"/>
    <w:rsid w:val="00561F47"/>
    <w:rsid w:val="00565875"/>
    <w:rsid w:val="005672C8"/>
    <w:rsid w:val="00571478"/>
    <w:rsid w:val="005958D2"/>
    <w:rsid w:val="00596F58"/>
    <w:rsid w:val="005A5903"/>
    <w:rsid w:val="005A77E7"/>
    <w:rsid w:val="005A7981"/>
    <w:rsid w:val="005B7B6D"/>
    <w:rsid w:val="005D155C"/>
    <w:rsid w:val="005D5C43"/>
    <w:rsid w:val="00601563"/>
    <w:rsid w:val="0060599B"/>
    <w:rsid w:val="00611B1E"/>
    <w:rsid w:val="00643898"/>
    <w:rsid w:val="006832F8"/>
    <w:rsid w:val="006B6920"/>
    <w:rsid w:val="006E6E41"/>
    <w:rsid w:val="006F1F76"/>
    <w:rsid w:val="006F404B"/>
    <w:rsid w:val="00706115"/>
    <w:rsid w:val="00724F1E"/>
    <w:rsid w:val="00732C7E"/>
    <w:rsid w:val="00745075"/>
    <w:rsid w:val="0075079A"/>
    <w:rsid w:val="00780FC9"/>
    <w:rsid w:val="007849AC"/>
    <w:rsid w:val="007974D1"/>
    <w:rsid w:val="007A25A0"/>
    <w:rsid w:val="007B3C93"/>
    <w:rsid w:val="007C2D76"/>
    <w:rsid w:val="007F3F28"/>
    <w:rsid w:val="008111EF"/>
    <w:rsid w:val="00814B38"/>
    <w:rsid w:val="00817C05"/>
    <w:rsid w:val="00824629"/>
    <w:rsid w:val="00827577"/>
    <w:rsid w:val="00844FDA"/>
    <w:rsid w:val="00854BE3"/>
    <w:rsid w:val="00855525"/>
    <w:rsid w:val="00887475"/>
    <w:rsid w:val="00897729"/>
    <w:rsid w:val="008B734A"/>
    <w:rsid w:val="008B7AF4"/>
    <w:rsid w:val="008D75E3"/>
    <w:rsid w:val="008F718D"/>
    <w:rsid w:val="00942447"/>
    <w:rsid w:val="009579C8"/>
    <w:rsid w:val="009676A0"/>
    <w:rsid w:val="00985421"/>
    <w:rsid w:val="009B13F7"/>
    <w:rsid w:val="009C645E"/>
    <w:rsid w:val="009D0638"/>
    <w:rsid w:val="009D3EA5"/>
    <w:rsid w:val="009F4A13"/>
    <w:rsid w:val="00A3125B"/>
    <w:rsid w:val="00A4694D"/>
    <w:rsid w:val="00A52CEB"/>
    <w:rsid w:val="00A53467"/>
    <w:rsid w:val="00A653CB"/>
    <w:rsid w:val="00A83970"/>
    <w:rsid w:val="00A84A63"/>
    <w:rsid w:val="00AA0037"/>
    <w:rsid w:val="00AA45C6"/>
    <w:rsid w:val="00AA5A9A"/>
    <w:rsid w:val="00AA61D4"/>
    <w:rsid w:val="00AD6988"/>
    <w:rsid w:val="00AE23C4"/>
    <w:rsid w:val="00AF35DD"/>
    <w:rsid w:val="00B161F1"/>
    <w:rsid w:val="00B16E24"/>
    <w:rsid w:val="00B2162C"/>
    <w:rsid w:val="00B37EDA"/>
    <w:rsid w:val="00B465D5"/>
    <w:rsid w:val="00B61340"/>
    <w:rsid w:val="00B77B7B"/>
    <w:rsid w:val="00B878C1"/>
    <w:rsid w:val="00BC1DAB"/>
    <w:rsid w:val="00BD0D5A"/>
    <w:rsid w:val="00BD770E"/>
    <w:rsid w:val="00C04FEC"/>
    <w:rsid w:val="00C27128"/>
    <w:rsid w:val="00C6301A"/>
    <w:rsid w:val="00C74711"/>
    <w:rsid w:val="00C81AA9"/>
    <w:rsid w:val="00C82BD2"/>
    <w:rsid w:val="00CA253A"/>
    <w:rsid w:val="00CA3CC9"/>
    <w:rsid w:val="00CE0CDC"/>
    <w:rsid w:val="00CE66AE"/>
    <w:rsid w:val="00CF2603"/>
    <w:rsid w:val="00D85860"/>
    <w:rsid w:val="00D92380"/>
    <w:rsid w:val="00DA2410"/>
    <w:rsid w:val="00DC60B7"/>
    <w:rsid w:val="00DD35ED"/>
    <w:rsid w:val="00DD44E7"/>
    <w:rsid w:val="00DF2CDA"/>
    <w:rsid w:val="00E02949"/>
    <w:rsid w:val="00E145E3"/>
    <w:rsid w:val="00E14B53"/>
    <w:rsid w:val="00E26BE9"/>
    <w:rsid w:val="00E37786"/>
    <w:rsid w:val="00E9290F"/>
    <w:rsid w:val="00EA7E74"/>
    <w:rsid w:val="00EE3ADB"/>
    <w:rsid w:val="00EF11F0"/>
    <w:rsid w:val="00F43170"/>
    <w:rsid w:val="00F45FD6"/>
    <w:rsid w:val="00F5309D"/>
    <w:rsid w:val="00F65D39"/>
    <w:rsid w:val="00F75688"/>
    <w:rsid w:val="00F767EF"/>
    <w:rsid w:val="00F822FF"/>
    <w:rsid w:val="00F96E8B"/>
    <w:rsid w:val="00FA0EC7"/>
    <w:rsid w:val="00FA1613"/>
    <w:rsid w:val="00FB6717"/>
    <w:rsid w:val="00FD388C"/>
    <w:rsid w:val="00FF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EF32"/>
  <w15:docId w15:val="{D429F221-AE1A-4B07-A1AA-AA015FCF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724F1E"/>
    <w:pPr>
      <w:widowControl w:val="0"/>
      <w:spacing w:after="0" w:line="240" w:lineRule="auto"/>
      <w:ind w:left="100"/>
      <w:outlineLvl w:val="0"/>
    </w:pPr>
    <w:rPr>
      <w:rFonts w:ascii="Arial" w:eastAsia="Arial" w:hAnsi="Arial"/>
      <w:b/>
      <w:bCs/>
      <w:i/>
      <w:sz w:val="23"/>
      <w:szCs w:val="23"/>
    </w:rPr>
  </w:style>
  <w:style w:type="paragraph" w:styleId="Heading2">
    <w:name w:val="heading 2"/>
    <w:basedOn w:val="Normal"/>
    <w:link w:val="Heading2Char"/>
    <w:uiPriority w:val="1"/>
    <w:qFormat/>
    <w:rsid w:val="00724F1E"/>
    <w:pPr>
      <w:widowControl w:val="0"/>
      <w:spacing w:after="0" w:line="240" w:lineRule="auto"/>
      <w:ind w:left="100"/>
      <w:outlineLvl w:val="1"/>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5E3"/>
    <w:pPr>
      <w:ind w:left="720"/>
      <w:contextualSpacing/>
    </w:pPr>
  </w:style>
  <w:style w:type="character" w:styleId="Hyperlink">
    <w:name w:val="Hyperlink"/>
    <w:basedOn w:val="DefaultParagraphFont"/>
    <w:uiPriority w:val="99"/>
    <w:unhideWhenUsed/>
    <w:rsid w:val="00C81AA9"/>
    <w:rPr>
      <w:color w:val="0000FF" w:themeColor="hyperlink"/>
      <w:u w:val="single"/>
    </w:rPr>
  </w:style>
  <w:style w:type="paragraph" w:styleId="Header">
    <w:name w:val="header"/>
    <w:basedOn w:val="Normal"/>
    <w:link w:val="HeaderChar"/>
    <w:uiPriority w:val="99"/>
    <w:unhideWhenUsed/>
    <w:rsid w:val="00F43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170"/>
  </w:style>
  <w:style w:type="paragraph" w:styleId="Footer">
    <w:name w:val="footer"/>
    <w:basedOn w:val="Normal"/>
    <w:link w:val="FooterChar"/>
    <w:uiPriority w:val="99"/>
    <w:unhideWhenUsed/>
    <w:rsid w:val="00F43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170"/>
  </w:style>
  <w:style w:type="paragraph" w:styleId="EndnoteText">
    <w:name w:val="endnote text"/>
    <w:basedOn w:val="Normal"/>
    <w:link w:val="EndnoteTextChar"/>
    <w:uiPriority w:val="99"/>
    <w:semiHidden/>
    <w:unhideWhenUsed/>
    <w:rsid w:val="00026B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6B71"/>
    <w:rPr>
      <w:sz w:val="20"/>
      <w:szCs w:val="20"/>
    </w:rPr>
  </w:style>
  <w:style w:type="character" w:styleId="EndnoteReference">
    <w:name w:val="endnote reference"/>
    <w:basedOn w:val="DefaultParagraphFont"/>
    <w:uiPriority w:val="99"/>
    <w:semiHidden/>
    <w:unhideWhenUsed/>
    <w:rsid w:val="00026B71"/>
    <w:rPr>
      <w:vertAlign w:val="superscript"/>
    </w:rPr>
  </w:style>
  <w:style w:type="paragraph" w:styleId="FootnoteText">
    <w:name w:val="footnote text"/>
    <w:basedOn w:val="Normal"/>
    <w:link w:val="FootnoteTextChar"/>
    <w:uiPriority w:val="99"/>
    <w:semiHidden/>
    <w:unhideWhenUsed/>
    <w:rsid w:val="00026B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6B71"/>
    <w:rPr>
      <w:sz w:val="20"/>
      <w:szCs w:val="20"/>
    </w:rPr>
  </w:style>
  <w:style w:type="character" w:styleId="FootnoteReference">
    <w:name w:val="footnote reference"/>
    <w:basedOn w:val="DefaultParagraphFont"/>
    <w:uiPriority w:val="99"/>
    <w:semiHidden/>
    <w:unhideWhenUsed/>
    <w:rsid w:val="00026B71"/>
    <w:rPr>
      <w:vertAlign w:val="superscript"/>
    </w:rPr>
  </w:style>
  <w:style w:type="table" w:styleId="TableGrid">
    <w:name w:val="Table Grid"/>
    <w:basedOn w:val="TableNormal"/>
    <w:uiPriority w:val="59"/>
    <w:rsid w:val="00724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724F1E"/>
    <w:rPr>
      <w:rFonts w:ascii="Arial" w:eastAsia="Arial" w:hAnsi="Arial"/>
      <w:b/>
      <w:bCs/>
      <w:i/>
      <w:sz w:val="23"/>
      <w:szCs w:val="23"/>
    </w:rPr>
  </w:style>
  <w:style w:type="character" w:customStyle="1" w:styleId="Heading2Char">
    <w:name w:val="Heading 2 Char"/>
    <w:basedOn w:val="DefaultParagraphFont"/>
    <w:link w:val="Heading2"/>
    <w:uiPriority w:val="1"/>
    <w:rsid w:val="00724F1E"/>
    <w:rPr>
      <w:rFonts w:ascii="Arial" w:eastAsia="Arial" w:hAnsi="Arial"/>
      <w:b/>
      <w:bCs/>
      <w:i/>
    </w:rPr>
  </w:style>
  <w:style w:type="paragraph" w:styleId="BodyText">
    <w:name w:val="Body Text"/>
    <w:basedOn w:val="Normal"/>
    <w:link w:val="BodyTextChar"/>
    <w:uiPriority w:val="1"/>
    <w:qFormat/>
    <w:rsid w:val="00724F1E"/>
    <w:pPr>
      <w:widowControl w:val="0"/>
      <w:spacing w:after="0" w:line="240" w:lineRule="auto"/>
      <w:ind w:left="160"/>
    </w:pPr>
    <w:rPr>
      <w:rFonts w:ascii="Arial" w:eastAsia="Arial" w:hAnsi="Arial"/>
    </w:rPr>
  </w:style>
  <w:style w:type="character" w:customStyle="1" w:styleId="BodyTextChar">
    <w:name w:val="Body Text Char"/>
    <w:basedOn w:val="DefaultParagraphFont"/>
    <w:link w:val="BodyText"/>
    <w:uiPriority w:val="1"/>
    <w:rsid w:val="00724F1E"/>
    <w:rPr>
      <w:rFonts w:ascii="Arial" w:eastAsia="Arial" w:hAnsi="Arial"/>
    </w:rPr>
  </w:style>
  <w:style w:type="paragraph" w:customStyle="1" w:styleId="TableParagraph">
    <w:name w:val="Table Paragraph"/>
    <w:basedOn w:val="Normal"/>
    <w:uiPriority w:val="1"/>
    <w:qFormat/>
    <w:rsid w:val="00724F1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41459">
      <w:bodyDiv w:val="1"/>
      <w:marLeft w:val="0"/>
      <w:marRight w:val="0"/>
      <w:marTop w:val="0"/>
      <w:marBottom w:val="0"/>
      <w:divBdr>
        <w:top w:val="none" w:sz="0" w:space="0" w:color="auto"/>
        <w:left w:val="none" w:sz="0" w:space="0" w:color="auto"/>
        <w:bottom w:val="none" w:sz="0" w:space="0" w:color="auto"/>
        <w:right w:val="none" w:sz="0" w:space="0" w:color="auto"/>
      </w:divBdr>
    </w:div>
    <w:div w:id="548228696">
      <w:bodyDiv w:val="1"/>
      <w:marLeft w:val="0"/>
      <w:marRight w:val="0"/>
      <w:marTop w:val="0"/>
      <w:marBottom w:val="0"/>
      <w:divBdr>
        <w:top w:val="none" w:sz="0" w:space="0" w:color="auto"/>
        <w:left w:val="none" w:sz="0" w:space="0" w:color="auto"/>
        <w:bottom w:val="none" w:sz="0" w:space="0" w:color="auto"/>
        <w:right w:val="none" w:sz="0" w:space="0" w:color="auto"/>
      </w:divBdr>
      <w:divsChild>
        <w:div w:id="1231190883">
          <w:marLeft w:val="0"/>
          <w:marRight w:val="0"/>
          <w:marTop w:val="0"/>
          <w:marBottom w:val="0"/>
          <w:divBdr>
            <w:top w:val="none" w:sz="0" w:space="0" w:color="auto"/>
            <w:left w:val="none" w:sz="0" w:space="0" w:color="auto"/>
            <w:bottom w:val="none" w:sz="0" w:space="0" w:color="auto"/>
            <w:right w:val="none" w:sz="0" w:space="0" w:color="auto"/>
          </w:divBdr>
          <w:divsChild>
            <w:div w:id="345251240">
              <w:marLeft w:val="0"/>
              <w:marRight w:val="0"/>
              <w:marTop w:val="0"/>
              <w:marBottom w:val="0"/>
              <w:divBdr>
                <w:top w:val="none" w:sz="0" w:space="0" w:color="auto"/>
                <w:left w:val="none" w:sz="0" w:space="0" w:color="auto"/>
                <w:bottom w:val="none" w:sz="0" w:space="0" w:color="auto"/>
                <w:right w:val="none" w:sz="0" w:space="0" w:color="auto"/>
              </w:divBdr>
              <w:divsChild>
                <w:div w:id="2042969229">
                  <w:marLeft w:val="0"/>
                  <w:marRight w:val="0"/>
                  <w:marTop w:val="0"/>
                  <w:marBottom w:val="0"/>
                  <w:divBdr>
                    <w:top w:val="none" w:sz="0" w:space="0" w:color="auto"/>
                    <w:left w:val="none" w:sz="0" w:space="0" w:color="auto"/>
                    <w:bottom w:val="none" w:sz="0" w:space="0" w:color="auto"/>
                    <w:right w:val="none" w:sz="0" w:space="0" w:color="auto"/>
                  </w:divBdr>
                </w:div>
              </w:divsChild>
            </w:div>
            <w:div w:id="1797942642">
              <w:marLeft w:val="0"/>
              <w:marRight w:val="0"/>
              <w:marTop w:val="0"/>
              <w:marBottom w:val="0"/>
              <w:divBdr>
                <w:top w:val="none" w:sz="0" w:space="0" w:color="auto"/>
                <w:left w:val="none" w:sz="0" w:space="0" w:color="auto"/>
                <w:bottom w:val="none" w:sz="0" w:space="0" w:color="auto"/>
                <w:right w:val="none" w:sz="0" w:space="0" w:color="auto"/>
              </w:divBdr>
              <w:divsChild>
                <w:div w:id="1252927423">
                  <w:marLeft w:val="0"/>
                  <w:marRight w:val="0"/>
                  <w:marTop w:val="0"/>
                  <w:marBottom w:val="0"/>
                  <w:divBdr>
                    <w:top w:val="none" w:sz="0" w:space="0" w:color="auto"/>
                    <w:left w:val="none" w:sz="0" w:space="0" w:color="auto"/>
                    <w:bottom w:val="single" w:sz="6" w:space="0" w:color="auto"/>
                    <w:right w:val="none" w:sz="0" w:space="0" w:color="auto"/>
                  </w:divBdr>
                  <w:divsChild>
                    <w:div w:id="1212500816">
                      <w:marLeft w:val="0"/>
                      <w:marRight w:val="0"/>
                      <w:marTop w:val="0"/>
                      <w:marBottom w:val="0"/>
                      <w:divBdr>
                        <w:top w:val="none" w:sz="0" w:space="0" w:color="auto"/>
                        <w:left w:val="none" w:sz="0" w:space="0" w:color="auto"/>
                        <w:bottom w:val="none" w:sz="0" w:space="0" w:color="auto"/>
                        <w:right w:val="none" w:sz="0" w:space="0" w:color="auto"/>
                      </w:divBdr>
                      <w:divsChild>
                        <w:div w:id="10192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486590">
          <w:marLeft w:val="0"/>
          <w:marRight w:val="0"/>
          <w:marTop w:val="0"/>
          <w:marBottom w:val="0"/>
          <w:divBdr>
            <w:top w:val="none" w:sz="0" w:space="0" w:color="auto"/>
            <w:left w:val="none" w:sz="0" w:space="0" w:color="auto"/>
            <w:bottom w:val="none" w:sz="0" w:space="0" w:color="auto"/>
            <w:right w:val="none" w:sz="0" w:space="0" w:color="auto"/>
          </w:divBdr>
          <w:divsChild>
            <w:div w:id="340737204">
              <w:marLeft w:val="0"/>
              <w:marRight w:val="0"/>
              <w:marTop w:val="0"/>
              <w:marBottom w:val="0"/>
              <w:divBdr>
                <w:top w:val="none" w:sz="0" w:space="0" w:color="auto"/>
                <w:left w:val="none" w:sz="0" w:space="0" w:color="auto"/>
                <w:bottom w:val="none" w:sz="0" w:space="0" w:color="auto"/>
                <w:right w:val="none" w:sz="0" w:space="0" w:color="auto"/>
              </w:divBdr>
              <w:divsChild>
                <w:div w:id="912860446">
                  <w:marLeft w:val="0"/>
                  <w:marRight w:val="0"/>
                  <w:marTop w:val="0"/>
                  <w:marBottom w:val="0"/>
                  <w:divBdr>
                    <w:top w:val="none" w:sz="0" w:space="0" w:color="auto"/>
                    <w:left w:val="none" w:sz="0" w:space="0" w:color="auto"/>
                    <w:bottom w:val="none" w:sz="0" w:space="0" w:color="auto"/>
                    <w:right w:val="none" w:sz="0" w:space="0" w:color="auto"/>
                  </w:divBdr>
                  <w:divsChild>
                    <w:div w:id="1110708993">
                      <w:marLeft w:val="150"/>
                      <w:marRight w:val="150"/>
                      <w:marTop w:val="0"/>
                      <w:marBottom w:val="0"/>
                      <w:divBdr>
                        <w:top w:val="none" w:sz="0" w:space="0" w:color="auto"/>
                        <w:left w:val="none" w:sz="0" w:space="0" w:color="auto"/>
                        <w:bottom w:val="none" w:sz="0" w:space="0" w:color="auto"/>
                        <w:right w:val="none" w:sz="0" w:space="0" w:color="auto"/>
                      </w:divBdr>
                    </w:div>
                    <w:div w:id="37565991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76132">
      <w:bodyDiv w:val="1"/>
      <w:marLeft w:val="0"/>
      <w:marRight w:val="0"/>
      <w:marTop w:val="0"/>
      <w:marBottom w:val="0"/>
      <w:divBdr>
        <w:top w:val="none" w:sz="0" w:space="0" w:color="auto"/>
        <w:left w:val="none" w:sz="0" w:space="0" w:color="auto"/>
        <w:bottom w:val="none" w:sz="0" w:space="0" w:color="auto"/>
        <w:right w:val="none" w:sz="0" w:space="0" w:color="auto"/>
      </w:divBdr>
    </w:div>
    <w:div w:id="1289703252">
      <w:bodyDiv w:val="1"/>
      <w:marLeft w:val="0"/>
      <w:marRight w:val="0"/>
      <w:marTop w:val="0"/>
      <w:marBottom w:val="0"/>
      <w:divBdr>
        <w:top w:val="none" w:sz="0" w:space="0" w:color="auto"/>
        <w:left w:val="none" w:sz="0" w:space="0" w:color="auto"/>
        <w:bottom w:val="none" w:sz="0" w:space="0" w:color="auto"/>
        <w:right w:val="none" w:sz="0" w:space="0" w:color="auto"/>
      </w:divBdr>
    </w:div>
    <w:div w:id="1468164317">
      <w:bodyDiv w:val="1"/>
      <w:marLeft w:val="0"/>
      <w:marRight w:val="0"/>
      <w:marTop w:val="0"/>
      <w:marBottom w:val="0"/>
      <w:divBdr>
        <w:top w:val="none" w:sz="0" w:space="0" w:color="auto"/>
        <w:left w:val="none" w:sz="0" w:space="0" w:color="auto"/>
        <w:bottom w:val="none" w:sz="0" w:space="0" w:color="auto"/>
        <w:right w:val="none" w:sz="0" w:space="0" w:color="auto"/>
      </w:divBdr>
    </w:div>
    <w:div w:id="205168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rta.us"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ata.census.gov/cedsci/profile?q=ACSDP5Y2018.DP02%20Indianapolis%20city%20%28balance%29,%20Indiana&amp;g=1600000US1836003" TargetMode="External"/><Relationship Id="rId4" Type="http://schemas.openxmlformats.org/officeDocument/2006/relationships/settings" Target="settings.xml"/><Relationship Id="rId9" Type="http://schemas.openxmlformats.org/officeDocument/2006/relationships/hyperlink" Target="https://data.census.gov/cedsci/profile?q=ACSDP5Y2018.DP02%20Indianapolis%20city%20%28balance%29,%20Indiana&amp;g=1600000US183600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0443-C179-4262-A2AC-1942A5690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Campoll</dc:creator>
  <cp:lastModifiedBy>Sarah Troutman</cp:lastModifiedBy>
  <cp:revision>2</cp:revision>
  <cp:lastPrinted>2020-10-23T12:11:00Z</cp:lastPrinted>
  <dcterms:created xsi:type="dcterms:W3CDTF">2022-12-07T21:16:00Z</dcterms:created>
  <dcterms:modified xsi:type="dcterms:W3CDTF">2022-12-07T21:16:00Z</dcterms:modified>
</cp:coreProperties>
</file>