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4082E" w14:textId="77777777" w:rsidR="000E7BC8" w:rsidRDefault="002A388E" w:rsidP="00FC5927">
      <w:pPr>
        <w:pStyle w:val="Heading1"/>
      </w:pPr>
      <w:r>
        <w:t>Central Indiana Regional Transportation Authority</w:t>
      </w:r>
    </w:p>
    <w:p w14:paraId="1BBA9B50" w14:textId="77777777" w:rsidR="002A388E" w:rsidRDefault="00FC5927" w:rsidP="00FC5927">
      <w:pPr>
        <w:pStyle w:val="Heading1"/>
      </w:pPr>
      <w:r>
        <w:t>Target Methodology</w:t>
      </w:r>
    </w:p>
    <w:p w14:paraId="60E5144B" w14:textId="77777777" w:rsidR="00FC5927" w:rsidRDefault="00FC5927" w:rsidP="00FC5927">
      <w:pPr>
        <w:pStyle w:val="Heading1"/>
      </w:pPr>
      <w:r>
        <w:t>Disadvantaged Business Enterprise Contracting</w:t>
      </w:r>
    </w:p>
    <w:p w14:paraId="4F485EFB" w14:textId="77777777" w:rsidR="00FC5927" w:rsidRPr="00FC5927" w:rsidRDefault="00FC5927" w:rsidP="00FC5927">
      <w:pPr>
        <w:pStyle w:val="Heading1"/>
      </w:pPr>
      <w:r>
        <w:t xml:space="preserve">Calendar Years </w:t>
      </w:r>
      <w:r w:rsidR="00673216">
        <w:t>2022-2026</w:t>
      </w:r>
    </w:p>
    <w:p w14:paraId="2670A5F1" w14:textId="03457DD3" w:rsidR="002A388E" w:rsidRPr="003131DE" w:rsidRDefault="006570E5" w:rsidP="00FC5927">
      <w:pPr>
        <w:pStyle w:val="Heading9"/>
        <w:rPr>
          <w:i w:val="0"/>
          <w:caps w:val="0"/>
        </w:rPr>
      </w:pPr>
      <w:r>
        <w:rPr>
          <w:caps w:val="0"/>
        </w:rPr>
        <w:t>Approved by the CIRTA Board</w:t>
      </w:r>
      <w:r>
        <w:rPr>
          <w:i w:val="0"/>
          <w:caps w:val="0"/>
        </w:rPr>
        <w:t xml:space="preserve"> on</w:t>
      </w:r>
      <w:r w:rsidR="003131DE" w:rsidRPr="003131DE">
        <w:rPr>
          <w:i w:val="0"/>
          <w:caps w:val="0"/>
        </w:rPr>
        <w:t xml:space="preserve"> </w:t>
      </w:r>
      <w:r w:rsidR="00673216">
        <w:rPr>
          <w:i w:val="0"/>
          <w:caps w:val="0"/>
        </w:rPr>
        <w:t>December</w:t>
      </w:r>
      <w:r w:rsidR="003131DE" w:rsidRPr="003131DE">
        <w:rPr>
          <w:i w:val="0"/>
          <w:caps w:val="0"/>
        </w:rPr>
        <w:t xml:space="preserve"> 6, 20</w:t>
      </w:r>
      <w:r w:rsidR="00673216">
        <w:rPr>
          <w:i w:val="0"/>
          <w:caps w:val="0"/>
        </w:rPr>
        <w:t>22</w:t>
      </w:r>
    </w:p>
    <w:p w14:paraId="30627D93" w14:textId="00987297" w:rsidR="00D10B4F" w:rsidRDefault="00D10B4F" w:rsidP="00FC5927">
      <w:pPr>
        <w:pStyle w:val="NoSpacing"/>
      </w:pPr>
    </w:p>
    <w:p w14:paraId="4D7844D9" w14:textId="77777777" w:rsidR="00FC5927" w:rsidRDefault="00FC5927" w:rsidP="00FC5927">
      <w:pPr>
        <w:pStyle w:val="Heading2"/>
      </w:pPr>
      <w:r>
        <w:t>Summary</w:t>
      </w:r>
    </w:p>
    <w:p w14:paraId="19F60782" w14:textId="77777777" w:rsidR="00FC5927" w:rsidRDefault="00FC5927" w:rsidP="00FC5927">
      <w:pPr>
        <w:pStyle w:val="NoSpacing"/>
      </w:pPr>
    </w:p>
    <w:p w14:paraId="0E8AD56E" w14:textId="5797073A" w:rsidR="00FC5927" w:rsidRPr="00FC5927" w:rsidRDefault="00FC5927" w:rsidP="00FC5927">
      <w:pPr>
        <w:pStyle w:val="NoSpacing"/>
      </w:pPr>
      <w:r>
        <w:t xml:space="preserve">This document provides the basis for setting DBE (disadvantaged business enterprise) </w:t>
      </w:r>
      <w:r w:rsidR="00193403">
        <w:t xml:space="preserve">contract </w:t>
      </w:r>
      <w:r>
        <w:t>targets for the Central Indiana Regional Transportation Authority (CIRTA) for outside vendor procurement for the years (Calendar and Fiscal) of 2022</w:t>
      </w:r>
      <w:r w:rsidR="00673216">
        <w:t xml:space="preserve"> to 2026</w:t>
      </w:r>
      <w:r>
        <w:t>, a five-year interval.  Based upon generally-accepted methodologies and available data sources, a DBE “base” (i.e., the percentage of contract</w:t>
      </w:r>
      <w:r w:rsidR="0098749E">
        <w:t xml:space="preserve"> award</w:t>
      </w:r>
      <w:r>
        <w:t xml:space="preserve">s that would go to DBEs if </w:t>
      </w:r>
      <w:r w:rsidR="0098749E">
        <w:t>selection was entirely random</w:t>
      </w:r>
      <w:r>
        <w:t xml:space="preserve">) is </w:t>
      </w:r>
      <w:r w:rsidR="007B5FA8">
        <w:t>11.5</w:t>
      </w:r>
      <w:r w:rsidR="0098749E">
        <w:t xml:space="preserve">%.  Setting a realistic target above that base, CIRTA proposes a DBE </w:t>
      </w:r>
      <w:r w:rsidR="0098749E">
        <w:rPr>
          <w:i/>
        </w:rPr>
        <w:t>target</w:t>
      </w:r>
      <w:r w:rsidR="00F46ED2">
        <w:t xml:space="preserve"> of </w:t>
      </w:r>
      <w:r w:rsidR="00F46ED2" w:rsidRPr="007B5FA8">
        <w:t>1</w:t>
      </w:r>
      <w:r w:rsidR="007B5FA8" w:rsidRPr="007B5FA8">
        <w:t>5.6</w:t>
      </w:r>
      <w:r w:rsidR="0098749E" w:rsidRPr="007B5FA8">
        <w:t>%.</w:t>
      </w:r>
      <w:r w:rsidR="0098749E">
        <w:t xml:space="preserve">  </w:t>
      </w:r>
    </w:p>
    <w:p w14:paraId="7F2A9035" w14:textId="77777777" w:rsidR="00FC5927" w:rsidRDefault="00FC5927" w:rsidP="00FC5927">
      <w:pPr>
        <w:pStyle w:val="Heading2"/>
      </w:pPr>
      <w:r>
        <w:t>Introduction</w:t>
      </w:r>
    </w:p>
    <w:p w14:paraId="1EEB4AC0" w14:textId="77777777" w:rsidR="00FC5927" w:rsidRDefault="00FC5927" w:rsidP="00FC5927">
      <w:pPr>
        <w:pStyle w:val="NoSpacing"/>
      </w:pPr>
    </w:p>
    <w:p w14:paraId="439F6737" w14:textId="77777777" w:rsidR="0098749E" w:rsidRDefault="0098749E" w:rsidP="00FC5927">
      <w:pPr>
        <w:pStyle w:val="NoSpacing"/>
      </w:pPr>
      <w:r>
        <w:t>Federal procurement policy instructs grantees (including CIRTA) to encourage disadvantaged business enterprise (DBE</w:t>
      </w:r>
      <w:r>
        <w:rPr>
          <w:rStyle w:val="FootnoteReference"/>
        </w:rPr>
        <w:footnoteReference w:id="2"/>
      </w:r>
      <w:r>
        <w:t xml:space="preserve">) participation </w:t>
      </w:r>
      <w:r w:rsidR="000142F9">
        <w:t>as vendors</w:t>
      </w:r>
      <w:r>
        <w:t xml:space="preserve"> for </w:t>
      </w:r>
      <w:r w:rsidR="000142F9">
        <w:t xml:space="preserve">contracts associated with </w:t>
      </w:r>
      <w:r>
        <w:t xml:space="preserve">federally-funded programs.  A key performance measure used to evaluate a grantee’s effectiveness </w:t>
      </w:r>
      <w:r w:rsidR="000142F9">
        <w:t>for this objective</w:t>
      </w:r>
      <w:r>
        <w:t xml:space="preserve"> is </w:t>
      </w:r>
      <w:r w:rsidR="000142F9">
        <w:t>a comparison of</w:t>
      </w:r>
      <w:r>
        <w:t xml:space="preserve"> the total proportion of awards </w:t>
      </w:r>
      <w:r w:rsidR="000142F9">
        <w:t>received by</w:t>
      </w:r>
      <w:r>
        <w:t xml:space="preserve"> DBE vendors to a previously-set target.  </w:t>
      </w:r>
      <w:r w:rsidR="000142F9">
        <w:t xml:space="preserve">Establishing the DBE participation target is the purpose of this document.  </w:t>
      </w:r>
    </w:p>
    <w:p w14:paraId="55477D0D" w14:textId="77777777" w:rsidR="00FC5927" w:rsidRDefault="00FC5927" w:rsidP="00FC5927">
      <w:pPr>
        <w:pStyle w:val="NoSpacing"/>
      </w:pPr>
    </w:p>
    <w:p w14:paraId="32952DEC" w14:textId="77777777" w:rsidR="000142F9" w:rsidRDefault="000142F9" w:rsidP="000142F9">
      <w:pPr>
        <w:pStyle w:val="Heading2"/>
      </w:pPr>
      <w:r>
        <w:t>Methodology</w:t>
      </w:r>
    </w:p>
    <w:p w14:paraId="200F742E" w14:textId="77777777" w:rsidR="000142F9" w:rsidRDefault="000142F9" w:rsidP="00FC5927">
      <w:pPr>
        <w:pStyle w:val="NoSpacing"/>
      </w:pPr>
    </w:p>
    <w:p w14:paraId="0BE8BA18" w14:textId="77777777" w:rsidR="000142F9" w:rsidRPr="000142F9" w:rsidRDefault="000142F9" w:rsidP="000142F9">
      <w:pPr>
        <w:pStyle w:val="Heading3"/>
      </w:pPr>
      <w:r>
        <w:t>Estimated procurement opportunities, 20</w:t>
      </w:r>
      <w:r w:rsidR="00014104">
        <w:t>22</w:t>
      </w:r>
      <w:r>
        <w:t>-202</w:t>
      </w:r>
      <w:r w:rsidR="00014104">
        <w:t>6</w:t>
      </w:r>
    </w:p>
    <w:p w14:paraId="7A37D2BA" w14:textId="77777777" w:rsidR="000142F9" w:rsidRDefault="000142F9" w:rsidP="00FC5927">
      <w:pPr>
        <w:pStyle w:val="NoSpacing"/>
      </w:pPr>
      <w:r>
        <w:t>CIRTA administers three core programs:</w:t>
      </w:r>
    </w:p>
    <w:p w14:paraId="4A9C299F" w14:textId="2FBEECB0" w:rsidR="000142F9" w:rsidRDefault="000142F9" w:rsidP="000142F9">
      <w:pPr>
        <w:pStyle w:val="NoSpacing"/>
        <w:numPr>
          <w:ilvl w:val="0"/>
          <w:numId w:val="52"/>
        </w:numPr>
      </w:pPr>
      <w:r>
        <w:rPr>
          <w:i/>
        </w:rPr>
        <w:t>Commuter Connect</w:t>
      </w:r>
      <w:r>
        <w:t xml:space="preserve">, which includes a vanpool leasing </w:t>
      </w:r>
      <w:r w:rsidR="00D05B12">
        <w:t>program.</w:t>
      </w:r>
    </w:p>
    <w:p w14:paraId="63F5A2EF" w14:textId="77777777" w:rsidR="000142F9" w:rsidRDefault="000142F9" w:rsidP="000142F9">
      <w:pPr>
        <w:pStyle w:val="NoSpacing"/>
        <w:numPr>
          <w:ilvl w:val="0"/>
          <w:numId w:val="52"/>
        </w:numPr>
      </w:pPr>
      <w:r>
        <w:rPr>
          <w:i/>
        </w:rPr>
        <w:t>County Connect</w:t>
      </w:r>
      <w:r>
        <w:t>, which includes a transportation voucher program managed by a vendor; and</w:t>
      </w:r>
    </w:p>
    <w:p w14:paraId="6178936C" w14:textId="77777777" w:rsidR="000142F9" w:rsidRDefault="000142F9" w:rsidP="000142F9">
      <w:pPr>
        <w:pStyle w:val="NoSpacing"/>
        <w:numPr>
          <w:ilvl w:val="0"/>
          <w:numId w:val="52"/>
        </w:numPr>
      </w:pPr>
      <w:r>
        <w:rPr>
          <w:i/>
        </w:rPr>
        <w:t>Workforce Connect</w:t>
      </w:r>
      <w:r>
        <w:t xml:space="preserve">, a reverse-commute public transit service that connects the Indianapolis public transit system (“IndyGo”) to suburban employment districts outside of IndyGo’s service area.  </w:t>
      </w:r>
    </w:p>
    <w:p w14:paraId="69BC85F3" w14:textId="77777777" w:rsidR="000142F9" w:rsidRDefault="000142F9" w:rsidP="00FC5927">
      <w:pPr>
        <w:pStyle w:val="NoSpacing"/>
      </w:pPr>
    </w:p>
    <w:p w14:paraId="006BB4D1" w14:textId="77777777" w:rsidR="000142F9" w:rsidRDefault="000142F9" w:rsidP="00FC5927">
      <w:pPr>
        <w:pStyle w:val="NoSpacing"/>
      </w:pPr>
      <w:r>
        <w:t>In addition, CIRTA participates in regional transportation planning and promotion.  Many administrative services, such as legal, human resources,</w:t>
      </w:r>
      <w:r w:rsidR="00025091">
        <w:t xml:space="preserve"> information technology,</w:t>
      </w:r>
      <w:r>
        <w:t xml:space="preserve"> and public outreach, are delivered through vendor contracts.  </w:t>
      </w:r>
    </w:p>
    <w:p w14:paraId="3F045ADE" w14:textId="77777777" w:rsidR="000142F9" w:rsidRDefault="000142F9" w:rsidP="00FC5927">
      <w:pPr>
        <w:pStyle w:val="NoSpacing"/>
      </w:pPr>
    </w:p>
    <w:p w14:paraId="251EBF2F" w14:textId="77777777" w:rsidR="000142F9" w:rsidRDefault="00BB7D8D" w:rsidP="00FC5927">
      <w:pPr>
        <w:pStyle w:val="NoSpacing"/>
      </w:pPr>
      <w:r>
        <w:lastRenderedPageBreak/>
        <w:t>A review of recent annual budgets informs projected costs for these programs and services</w:t>
      </w:r>
      <w:r w:rsidR="00673216">
        <w:t xml:space="preserve">.  It should be noted that some of these programs may be undergoing changes during the term of this policy.  </w:t>
      </w:r>
      <w:r>
        <w:t>The following list gives an overview of the 5-year assumptions used here:</w:t>
      </w:r>
    </w:p>
    <w:p w14:paraId="2799266C" w14:textId="77777777" w:rsidR="00BB7D8D" w:rsidRDefault="00BB7D8D" w:rsidP="00FC5927">
      <w:pPr>
        <w:pStyle w:val="NoSpacing"/>
      </w:pPr>
    </w:p>
    <w:p w14:paraId="3963C77D" w14:textId="77777777" w:rsidR="00BB7D8D" w:rsidRDefault="00BB7D8D" w:rsidP="00BB7D8D">
      <w:pPr>
        <w:pStyle w:val="NoSpacing"/>
        <w:numPr>
          <w:ilvl w:val="0"/>
          <w:numId w:val="53"/>
        </w:numPr>
      </w:pPr>
      <w:r>
        <w:t>The current proportion of administrative services that is outsourced will not change;</w:t>
      </w:r>
    </w:p>
    <w:p w14:paraId="43E8E079" w14:textId="77777777" w:rsidR="00BB7D8D" w:rsidRDefault="00BB7D8D" w:rsidP="00BB7D8D">
      <w:pPr>
        <w:pStyle w:val="NoSpacing"/>
        <w:numPr>
          <w:ilvl w:val="0"/>
          <w:numId w:val="53"/>
        </w:numPr>
      </w:pPr>
      <w:r>
        <w:t>Vanpool lease fees will increase by 10% per year;</w:t>
      </w:r>
    </w:p>
    <w:p w14:paraId="57F86888" w14:textId="77777777" w:rsidR="00BB7D8D" w:rsidRDefault="00BB7D8D" w:rsidP="00BB7D8D">
      <w:pPr>
        <w:pStyle w:val="NoSpacing"/>
        <w:numPr>
          <w:ilvl w:val="0"/>
          <w:numId w:val="53"/>
        </w:numPr>
      </w:pPr>
      <w:r>
        <w:t>The voucher program fees will not increase; and</w:t>
      </w:r>
    </w:p>
    <w:p w14:paraId="6FCF1CCB" w14:textId="77777777" w:rsidR="00BB7D8D" w:rsidRDefault="00BB7D8D" w:rsidP="00BB7D8D">
      <w:pPr>
        <w:pStyle w:val="NoSpacing"/>
        <w:numPr>
          <w:ilvl w:val="0"/>
          <w:numId w:val="53"/>
        </w:numPr>
      </w:pPr>
      <w:r>
        <w:t>Two (2) workforce connector routes will be</w:t>
      </w:r>
      <w:r w:rsidR="00673216">
        <w:t xml:space="preserve"> administered</w:t>
      </w:r>
      <w:r>
        <w:t xml:space="preserve">.  </w:t>
      </w:r>
    </w:p>
    <w:p w14:paraId="77908D75" w14:textId="77777777" w:rsidR="00BB7D8D" w:rsidRDefault="00BB7D8D" w:rsidP="00BB7D8D">
      <w:pPr>
        <w:pStyle w:val="NoSpacing"/>
      </w:pPr>
    </w:p>
    <w:p w14:paraId="7F8FA920" w14:textId="77777777" w:rsidR="00BB7D8D" w:rsidRDefault="00BB7D8D" w:rsidP="00BB7D8D">
      <w:pPr>
        <w:pStyle w:val="NoSpacing"/>
      </w:pPr>
      <w:r>
        <w:t xml:space="preserve">Note that this list is not intended to cover every possible outcome of CIRTA’s activities over the time period, but rather gives a sense of scope to the DBE target-setting process.  </w:t>
      </w:r>
    </w:p>
    <w:p w14:paraId="455838EB" w14:textId="77777777" w:rsidR="00BB7D8D" w:rsidRDefault="00BB7D8D" w:rsidP="00BB7D8D">
      <w:pPr>
        <w:pStyle w:val="NoSpacing"/>
      </w:pPr>
    </w:p>
    <w:p w14:paraId="648C78CB" w14:textId="77777777" w:rsidR="00BB7D8D" w:rsidRDefault="00BB7D8D" w:rsidP="00BB7D8D">
      <w:pPr>
        <w:pStyle w:val="NoSpacing"/>
      </w:pPr>
      <w:r>
        <w:t>The total dollar amount of contracts estimated for this period is listed in the following Table 1:</w:t>
      </w:r>
    </w:p>
    <w:p w14:paraId="7C02F363" w14:textId="77777777" w:rsidR="00BB7D8D" w:rsidRDefault="00BB7D8D" w:rsidP="00BB7D8D">
      <w:pPr>
        <w:pStyle w:val="NoSpacing"/>
      </w:pPr>
    </w:p>
    <w:p w14:paraId="18400F88" w14:textId="77777777" w:rsidR="00BB7D8D" w:rsidRPr="0080420C" w:rsidRDefault="00BB7D8D" w:rsidP="00BB7D8D">
      <w:pPr>
        <w:pStyle w:val="NoSpacing"/>
        <w:rPr>
          <w:b/>
        </w:rPr>
      </w:pPr>
      <w:r w:rsidRPr="0080420C">
        <w:rPr>
          <w:b/>
        </w:rPr>
        <w:t>Table 1: Projected vendor contracting opportunities, 2018-2022</w:t>
      </w:r>
    </w:p>
    <w:tbl>
      <w:tblPr>
        <w:tblW w:w="4505" w:type="dxa"/>
        <w:tblInd w:w="103" w:type="dxa"/>
        <w:tblLook w:val="04A0" w:firstRow="1" w:lastRow="0" w:firstColumn="1" w:lastColumn="0" w:noHBand="0" w:noVBand="1"/>
      </w:tblPr>
      <w:tblGrid>
        <w:gridCol w:w="2328"/>
        <w:gridCol w:w="2177"/>
      </w:tblGrid>
      <w:tr w:rsidR="00BB7D8D" w:rsidRPr="00BB7D8D" w14:paraId="0AADCA6E" w14:textId="77777777" w:rsidTr="005D3C6A">
        <w:trPr>
          <w:trHeight w:val="300"/>
        </w:trPr>
        <w:tc>
          <w:tcPr>
            <w:tcW w:w="2328" w:type="dxa"/>
            <w:tcBorders>
              <w:top w:val="single" w:sz="4" w:space="0" w:color="000000"/>
              <w:left w:val="single" w:sz="4" w:space="0" w:color="000000"/>
              <w:bottom w:val="nil"/>
              <w:right w:val="nil"/>
            </w:tcBorders>
            <w:shd w:val="clear" w:color="000000" w:fill="000000"/>
            <w:noWrap/>
            <w:vAlign w:val="bottom"/>
            <w:hideMark/>
          </w:tcPr>
          <w:p w14:paraId="6CA0A3E7" w14:textId="77777777" w:rsidR="00BB7D8D" w:rsidRPr="00BB7D8D" w:rsidRDefault="00BB7D8D" w:rsidP="00BB7D8D">
            <w:pPr>
              <w:spacing w:before="0" w:after="0" w:line="240" w:lineRule="auto"/>
              <w:rPr>
                <w:rFonts w:ascii="Calibri" w:eastAsia="Times New Roman" w:hAnsi="Calibri" w:cs="Calibri"/>
                <w:b/>
                <w:bCs/>
                <w:color w:val="FFFFFF"/>
                <w:sz w:val="22"/>
                <w:szCs w:val="22"/>
              </w:rPr>
            </w:pPr>
            <w:r w:rsidRPr="00BB7D8D">
              <w:rPr>
                <w:rFonts w:ascii="Calibri" w:eastAsia="Times New Roman" w:hAnsi="Calibri" w:cs="Calibri"/>
                <w:b/>
                <w:bCs/>
                <w:color w:val="FFFFFF"/>
                <w:sz w:val="22"/>
                <w:szCs w:val="22"/>
              </w:rPr>
              <w:t>Program</w:t>
            </w:r>
          </w:p>
        </w:tc>
        <w:tc>
          <w:tcPr>
            <w:tcW w:w="2177" w:type="dxa"/>
            <w:tcBorders>
              <w:top w:val="single" w:sz="4" w:space="0" w:color="000000"/>
              <w:left w:val="nil"/>
              <w:bottom w:val="nil"/>
              <w:right w:val="single" w:sz="4" w:space="0" w:color="000000"/>
            </w:tcBorders>
            <w:shd w:val="clear" w:color="000000" w:fill="000000"/>
            <w:noWrap/>
            <w:vAlign w:val="bottom"/>
            <w:hideMark/>
          </w:tcPr>
          <w:p w14:paraId="69BCCA67" w14:textId="77777777" w:rsidR="00BB7D8D" w:rsidRPr="00BB7D8D" w:rsidRDefault="00BB7D8D" w:rsidP="00BB7D8D">
            <w:pPr>
              <w:spacing w:before="0" w:after="0" w:line="240" w:lineRule="auto"/>
              <w:rPr>
                <w:rFonts w:ascii="Calibri" w:eastAsia="Times New Roman" w:hAnsi="Calibri" w:cs="Calibri"/>
                <w:b/>
                <w:bCs/>
                <w:color w:val="FFFFFF"/>
                <w:sz w:val="22"/>
                <w:szCs w:val="22"/>
              </w:rPr>
            </w:pPr>
            <w:r w:rsidRPr="00BB7D8D">
              <w:rPr>
                <w:rFonts w:ascii="Calibri" w:eastAsia="Times New Roman" w:hAnsi="Calibri" w:cs="Calibri"/>
                <w:b/>
                <w:bCs/>
                <w:color w:val="FFFFFF"/>
                <w:sz w:val="22"/>
                <w:szCs w:val="22"/>
              </w:rPr>
              <w:t>5-year amount</w:t>
            </w:r>
          </w:p>
        </w:tc>
      </w:tr>
      <w:tr w:rsidR="00BB7D8D" w:rsidRPr="00BB7D8D" w14:paraId="54C5783D" w14:textId="77777777" w:rsidTr="005D3C6A">
        <w:trPr>
          <w:trHeight w:val="300"/>
        </w:trPr>
        <w:tc>
          <w:tcPr>
            <w:tcW w:w="2328" w:type="dxa"/>
            <w:tcBorders>
              <w:top w:val="single" w:sz="4" w:space="0" w:color="000000"/>
              <w:left w:val="single" w:sz="4" w:space="0" w:color="000000"/>
              <w:bottom w:val="nil"/>
              <w:right w:val="nil"/>
            </w:tcBorders>
            <w:shd w:val="clear" w:color="auto" w:fill="auto"/>
            <w:noWrap/>
            <w:vAlign w:val="bottom"/>
            <w:hideMark/>
          </w:tcPr>
          <w:p w14:paraId="483B9ED9" w14:textId="77777777" w:rsidR="00BB7D8D" w:rsidRPr="00BB7D8D" w:rsidRDefault="00BB7D8D" w:rsidP="00BB7D8D">
            <w:pPr>
              <w:spacing w:before="0" w:after="0" w:line="240" w:lineRule="auto"/>
              <w:rPr>
                <w:rFonts w:ascii="Calibri" w:eastAsia="Times New Roman" w:hAnsi="Calibri" w:cs="Calibri"/>
                <w:color w:val="000000"/>
                <w:sz w:val="22"/>
                <w:szCs w:val="22"/>
              </w:rPr>
            </w:pPr>
            <w:r w:rsidRPr="00BB7D8D">
              <w:rPr>
                <w:rFonts w:ascii="Calibri" w:eastAsia="Times New Roman" w:hAnsi="Calibri" w:cs="Calibri"/>
                <w:color w:val="000000"/>
                <w:sz w:val="22"/>
                <w:szCs w:val="22"/>
              </w:rPr>
              <w:t>Vanpool programs</w:t>
            </w:r>
          </w:p>
        </w:tc>
        <w:tc>
          <w:tcPr>
            <w:tcW w:w="2177" w:type="dxa"/>
            <w:tcBorders>
              <w:top w:val="single" w:sz="4" w:space="0" w:color="000000"/>
              <w:left w:val="nil"/>
              <w:bottom w:val="nil"/>
              <w:right w:val="single" w:sz="4" w:space="0" w:color="000000"/>
            </w:tcBorders>
            <w:shd w:val="clear" w:color="auto" w:fill="auto"/>
            <w:noWrap/>
            <w:vAlign w:val="bottom"/>
            <w:hideMark/>
          </w:tcPr>
          <w:p w14:paraId="3249D036" w14:textId="77777777" w:rsidR="00BB7D8D" w:rsidRPr="00BB7D8D" w:rsidRDefault="0080420C" w:rsidP="0080420C">
            <w:pPr>
              <w:spacing w:before="0"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 $            1,600,000</w:t>
            </w:r>
            <w:r w:rsidR="005D3C6A">
              <w:rPr>
                <w:rStyle w:val="FootnoteReference"/>
                <w:rFonts w:ascii="Calibri" w:eastAsia="Times New Roman" w:hAnsi="Calibri" w:cs="Calibri"/>
                <w:color w:val="000000"/>
                <w:sz w:val="22"/>
                <w:szCs w:val="22"/>
              </w:rPr>
              <w:footnoteReference w:id="3"/>
            </w:r>
            <w:r w:rsidR="00BB7D8D" w:rsidRPr="00BB7D8D">
              <w:rPr>
                <w:rFonts w:ascii="Calibri" w:eastAsia="Times New Roman" w:hAnsi="Calibri" w:cs="Calibri"/>
                <w:color w:val="000000"/>
                <w:sz w:val="22"/>
                <w:szCs w:val="22"/>
              </w:rPr>
              <w:t xml:space="preserve"> </w:t>
            </w:r>
          </w:p>
        </w:tc>
      </w:tr>
      <w:tr w:rsidR="00BB7D8D" w:rsidRPr="00BB7D8D" w14:paraId="64F0A1F1" w14:textId="77777777" w:rsidTr="005D3C6A">
        <w:trPr>
          <w:trHeight w:val="300"/>
        </w:trPr>
        <w:tc>
          <w:tcPr>
            <w:tcW w:w="2328" w:type="dxa"/>
            <w:tcBorders>
              <w:top w:val="single" w:sz="4" w:space="0" w:color="000000"/>
              <w:left w:val="single" w:sz="4" w:space="0" w:color="000000"/>
              <w:bottom w:val="nil"/>
              <w:right w:val="nil"/>
            </w:tcBorders>
            <w:shd w:val="clear" w:color="auto" w:fill="auto"/>
            <w:noWrap/>
            <w:vAlign w:val="bottom"/>
            <w:hideMark/>
          </w:tcPr>
          <w:p w14:paraId="36A2A715" w14:textId="77777777" w:rsidR="00BB7D8D" w:rsidRPr="00BB7D8D" w:rsidRDefault="00BB7D8D" w:rsidP="00BB7D8D">
            <w:pPr>
              <w:spacing w:before="0"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Voucher Services</w:t>
            </w:r>
          </w:p>
        </w:tc>
        <w:tc>
          <w:tcPr>
            <w:tcW w:w="2177" w:type="dxa"/>
            <w:tcBorders>
              <w:top w:val="single" w:sz="4" w:space="0" w:color="000000"/>
              <w:left w:val="nil"/>
              <w:bottom w:val="nil"/>
              <w:right w:val="single" w:sz="4" w:space="0" w:color="000000"/>
            </w:tcBorders>
            <w:shd w:val="clear" w:color="auto" w:fill="auto"/>
            <w:noWrap/>
            <w:vAlign w:val="bottom"/>
            <w:hideMark/>
          </w:tcPr>
          <w:p w14:paraId="18F0B230" w14:textId="77777777" w:rsidR="00BB7D8D" w:rsidRPr="00BB7D8D" w:rsidRDefault="00BB7D8D" w:rsidP="00BB7D8D">
            <w:pPr>
              <w:spacing w:before="0" w:after="0" w:line="240" w:lineRule="auto"/>
              <w:rPr>
                <w:rFonts w:ascii="Calibri" w:eastAsia="Times New Roman" w:hAnsi="Calibri" w:cs="Calibri"/>
                <w:color w:val="000000"/>
                <w:sz w:val="22"/>
                <w:szCs w:val="22"/>
              </w:rPr>
            </w:pPr>
            <w:r w:rsidRPr="00BB7D8D">
              <w:rPr>
                <w:rFonts w:ascii="Calibri" w:eastAsia="Times New Roman" w:hAnsi="Calibri" w:cs="Calibri"/>
                <w:color w:val="000000"/>
                <w:sz w:val="22"/>
                <w:szCs w:val="22"/>
              </w:rPr>
              <w:t xml:space="preserve"> $                300,000 </w:t>
            </w:r>
          </w:p>
        </w:tc>
      </w:tr>
      <w:tr w:rsidR="00BB7D8D" w:rsidRPr="00BB7D8D" w14:paraId="471C69BF" w14:textId="77777777" w:rsidTr="005D3C6A">
        <w:trPr>
          <w:trHeight w:val="300"/>
        </w:trPr>
        <w:tc>
          <w:tcPr>
            <w:tcW w:w="2328" w:type="dxa"/>
            <w:tcBorders>
              <w:top w:val="single" w:sz="4" w:space="0" w:color="000000"/>
              <w:left w:val="single" w:sz="4" w:space="0" w:color="000000"/>
              <w:bottom w:val="nil"/>
              <w:right w:val="nil"/>
            </w:tcBorders>
            <w:shd w:val="clear" w:color="auto" w:fill="auto"/>
            <w:noWrap/>
            <w:vAlign w:val="bottom"/>
            <w:hideMark/>
          </w:tcPr>
          <w:p w14:paraId="7E8197D4" w14:textId="77777777" w:rsidR="00BB7D8D" w:rsidRPr="00BB7D8D" w:rsidRDefault="00BB7D8D" w:rsidP="00BB7D8D">
            <w:pPr>
              <w:spacing w:before="0"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Connector Services</w:t>
            </w:r>
          </w:p>
        </w:tc>
        <w:tc>
          <w:tcPr>
            <w:tcW w:w="2177" w:type="dxa"/>
            <w:tcBorders>
              <w:top w:val="single" w:sz="4" w:space="0" w:color="000000"/>
              <w:left w:val="nil"/>
              <w:bottom w:val="nil"/>
              <w:right w:val="single" w:sz="4" w:space="0" w:color="000000"/>
            </w:tcBorders>
            <w:shd w:val="clear" w:color="auto" w:fill="auto"/>
            <w:noWrap/>
            <w:vAlign w:val="bottom"/>
            <w:hideMark/>
          </w:tcPr>
          <w:p w14:paraId="4CAA94D4" w14:textId="77777777" w:rsidR="00BB7D8D" w:rsidRPr="00BB7D8D" w:rsidRDefault="00BB7D8D" w:rsidP="00BB7D8D">
            <w:pPr>
              <w:spacing w:before="0" w:after="0" w:line="240" w:lineRule="auto"/>
              <w:rPr>
                <w:rFonts w:ascii="Calibri" w:eastAsia="Times New Roman" w:hAnsi="Calibri" w:cs="Calibri"/>
                <w:color w:val="000000"/>
                <w:sz w:val="22"/>
                <w:szCs w:val="22"/>
              </w:rPr>
            </w:pPr>
            <w:r w:rsidRPr="00BB7D8D">
              <w:rPr>
                <w:rFonts w:ascii="Calibri" w:eastAsia="Times New Roman" w:hAnsi="Calibri" w:cs="Calibri"/>
                <w:color w:val="000000"/>
                <w:sz w:val="22"/>
                <w:szCs w:val="22"/>
              </w:rPr>
              <w:t xml:space="preserve"> $            </w:t>
            </w:r>
            <w:r w:rsidR="00673216" w:rsidRPr="00673216">
              <w:rPr>
                <w:rFonts w:ascii="Calibri" w:eastAsia="Times New Roman" w:hAnsi="Calibri" w:cs="Calibri"/>
                <w:color w:val="000000"/>
                <w:sz w:val="22"/>
                <w:szCs w:val="22"/>
              </w:rPr>
              <w:t>3</w:t>
            </w:r>
            <w:r w:rsidR="00673216">
              <w:rPr>
                <w:rFonts w:ascii="Calibri" w:eastAsia="Times New Roman" w:hAnsi="Calibri" w:cs="Calibri"/>
                <w:color w:val="000000"/>
                <w:sz w:val="22"/>
                <w:szCs w:val="22"/>
              </w:rPr>
              <w:t>,</w:t>
            </w:r>
            <w:r w:rsidR="00673216" w:rsidRPr="00673216">
              <w:rPr>
                <w:rFonts w:ascii="Calibri" w:eastAsia="Times New Roman" w:hAnsi="Calibri" w:cs="Calibri"/>
                <w:color w:val="000000"/>
                <w:sz w:val="22"/>
                <w:szCs w:val="22"/>
              </w:rPr>
              <w:t>750</w:t>
            </w:r>
            <w:r w:rsidR="00673216">
              <w:rPr>
                <w:rFonts w:ascii="Calibri" w:eastAsia="Times New Roman" w:hAnsi="Calibri" w:cs="Calibri"/>
                <w:color w:val="000000"/>
                <w:sz w:val="22"/>
                <w:szCs w:val="22"/>
              </w:rPr>
              <w:t>,</w:t>
            </w:r>
            <w:r w:rsidR="00673216" w:rsidRPr="00673216">
              <w:rPr>
                <w:rFonts w:ascii="Calibri" w:eastAsia="Times New Roman" w:hAnsi="Calibri" w:cs="Calibri"/>
                <w:color w:val="000000"/>
                <w:sz w:val="22"/>
                <w:szCs w:val="22"/>
              </w:rPr>
              <w:t>000</w:t>
            </w:r>
          </w:p>
        </w:tc>
      </w:tr>
      <w:tr w:rsidR="00BB7D8D" w:rsidRPr="00BB7D8D" w14:paraId="54E41488" w14:textId="77777777" w:rsidTr="005D3C6A">
        <w:trPr>
          <w:trHeight w:val="300"/>
        </w:trPr>
        <w:tc>
          <w:tcPr>
            <w:tcW w:w="2328" w:type="dxa"/>
            <w:tcBorders>
              <w:top w:val="single" w:sz="4" w:space="0" w:color="000000"/>
              <w:left w:val="single" w:sz="4" w:space="0" w:color="000000"/>
              <w:bottom w:val="nil"/>
              <w:right w:val="nil"/>
            </w:tcBorders>
            <w:shd w:val="clear" w:color="auto" w:fill="auto"/>
            <w:noWrap/>
            <w:vAlign w:val="bottom"/>
            <w:hideMark/>
          </w:tcPr>
          <w:p w14:paraId="2811B156" w14:textId="77777777" w:rsidR="00BB7D8D" w:rsidRPr="00BB7D8D" w:rsidRDefault="00BB7D8D" w:rsidP="00BB7D8D">
            <w:pPr>
              <w:spacing w:before="0" w:after="0" w:line="240" w:lineRule="auto"/>
              <w:rPr>
                <w:rFonts w:ascii="Calibri" w:eastAsia="Times New Roman" w:hAnsi="Calibri" w:cs="Calibri"/>
                <w:color w:val="000000"/>
                <w:sz w:val="22"/>
                <w:szCs w:val="22"/>
                <w:u w:val="single"/>
              </w:rPr>
            </w:pPr>
            <w:r w:rsidRPr="00BB7D8D">
              <w:rPr>
                <w:rFonts w:ascii="Calibri" w:eastAsia="Times New Roman" w:hAnsi="Calibri" w:cs="Calibri"/>
                <w:color w:val="000000"/>
                <w:sz w:val="22"/>
                <w:szCs w:val="22"/>
                <w:u w:val="single"/>
              </w:rPr>
              <w:t>Professional/Technical</w:t>
            </w:r>
          </w:p>
        </w:tc>
        <w:tc>
          <w:tcPr>
            <w:tcW w:w="2177" w:type="dxa"/>
            <w:tcBorders>
              <w:top w:val="single" w:sz="4" w:space="0" w:color="000000"/>
              <w:left w:val="nil"/>
              <w:bottom w:val="nil"/>
              <w:right w:val="single" w:sz="4" w:space="0" w:color="000000"/>
            </w:tcBorders>
            <w:shd w:val="clear" w:color="auto" w:fill="auto"/>
            <w:noWrap/>
            <w:vAlign w:val="bottom"/>
            <w:hideMark/>
          </w:tcPr>
          <w:p w14:paraId="49CCE7C4" w14:textId="77777777" w:rsidR="00BB7D8D" w:rsidRPr="00BB7D8D" w:rsidRDefault="002B446C" w:rsidP="002B446C">
            <w:pPr>
              <w:spacing w:before="0" w:after="0" w:line="240" w:lineRule="auto"/>
              <w:rPr>
                <w:rFonts w:ascii="Calibri" w:eastAsia="Times New Roman" w:hAnsi="Calibri" w:cs="Calibri"/>
                <w:color w:val="000000"/>
                <w:sz w:val="22"/>
                <w:szCs w:val="22"/>
                <w:u w:val="single"/>
              </w:rPr>
            </w:pPr>
            <w:r>
              <w:rPr>
                <w:rFonts w:ascii="Calibri" w:eastAsia="Times New Roman" w:hAnsi="Calibri" w:cs="Calibri"/>
                <w:color w:val="000000"/>
                <w:sz w:val="22"/>
                <w:szCs w:val="22"/>
                <w:u w:val="single"/>
              </w:rPr>
              <w:t xml:space="preserve"> $            </w:t>
            </w:r>
            <w:r w:rsidR="007B5FA8">
              <w:rPr>
                <w:rFonts w:ascii="Calibri" w:eastAsia="Times New Roman" w:hAnsi="Calibri" w:cs="Calibri"/>
                <w:color w:val="000000"/>
                <w:sz w:val="22"/>
                <w:szCs w:val="22"/>
                <w:u w:val="single"/>
              </w:rPr>
              <w:t>3,0</w:t>
            </w:r>
            <w:r w:rsidR="0080420C">
              <w:rPr>
                <w:rFonts w:ascii="Calibri" w:eastAsia="Times New Roman" w:hAnsi="Calibri" w:cs="Calibri"/>
                <w:color w:val="000000"/>
                <w:sz w:val="22"/>
                <w:szCs w:val="22"/>
                <w:u w:val="single"/>
              </w:rPr>
              <w:t>0</w:t>
            </w:r>
            <w:r w:rsidR="00BB7D8D" w:rsidRPr="00BB7D8D">
              <w:rPr>
                <w:rFonts w:ascii="Calibri" w:eastAsia="Times New Roman" w:hAnsi="Calibri" w:cs="Calibri"/>
                <w:color w:val="000000"/>
                <w:sz w:val="22"/>
                <w:szCs w:val="22"/>
                <w:u w:val="single"/>
              </w:rPr>
              <w:t xml:space="preserve">0,000 </w:t>
            </w:r>
          </w:p>
        </w:tc>
      </w:tr>
      <w:tr w:rsidR="00BB7D8D" w:rsidRPr="00BB7D8D" w14:paraId="4926ADD8" w14:textId="77777777" w:rsidTr="005D3C6A">
        <w:trPr>
          <w:trHeight w:val="300"/>
        </w:trPr>
        <w:tc>
          <w:tcPr>
            <w:tcW w:w="2328" w:type="dxa"/>
            <w:tcBorders>
              <w:top w:val="single" w:sz="4" w:space="0" w:color="000000"/>
              <w:left w:val="single" w:sz="4" w:space="0" w:color="000000"/>
              <w:bottom w:val="single" w:sz="4" w:space="0" w:color="000000"/>
              <w:right w:val="nil"/>
            </w:tcBorders>
            <w:shd w:val="clear" w:color="auto" w:fill="auto"/>
            <w:noWrap/>
            <w:vAlign w:val="bottom"/>
            <w:hideMark/>
          </w:tcPr>
          <w:p w14:paraId="4CF48670" w14:textId="77777777" w:rsidR="00BB7D8D" w:rsidRPr="00BB7D8D" w:rsidRDefault="00BB7D8D" w:rsidP="00BB7D8D">
            <w:pPr>
              <w:spacing w:before="0" w:after="0" w:line="240" w:lineRule="auto"/>
              <w:rPr>
                <w:rFonts w:ascii="Calibri" w:eastAsia="Times New Roman" w:hAnsi="Calibri" w:cs="Calibri"/>
                <w:b/>
                <w:i/>
                <w:color w:val="000000"/>
                <w:sz w:val="22"/>
                <w:szCs w:val="22"/>
              </w:rPr>
            </w:pPr>
            <w:r w:rsidRPr="00BB7D8D">
              <w:rPr>
                <w:rFonts w:ascii="Calibri" w:eastAsia="Times New Roman" w:hAnsi="Calibri" w:cs="Calibri"/>
                <w:b/>
                <w:i/>
                <w:color w:val="000000"/>
                <w:sz w:val="22"/>
                <w:szCs w:val="22"/>
              </w:rPr>
              <w:t>Total</w:t>
            </w:r>
          </w:p>
        </w:tc>
        <w:tc>
          <w:tcPr>
            <w:tcW w:w="2177" w:type="dxa"/>
            <w:tcBorders>
              <w:top w:val="single" w:sz="4" w:space="0" w:color="000000"/>
              <w:left w:val="nil"/>
              <w:bottom w:val="single" w:sz="4" w:space="0" w:color="000000"/>
              <w:right w:val="single" w:sz="4" w:space="0" w:color="000000"/>
            </w:tcBorders>
            <w:shd w:val="clear" w:color="auto" w:fill="auto"/>
            <w:noWrap/>
            <w:vAlign w:val="bottom"/>
            <w:hideMark/>
          </w:tcPr>
          <w:p w14:paraId="5BD65924" w14:textId="77777777" w:rsidR="00BB7D8D" w:rsidRPr="00BB7D8D" w:rsidRDefault="002B446C" w:rsidP="0080420C">
            <w:pPr>
              <w:spacing w:before="0" w:after="0" w:line="240" w:lineRule="auto"/>
              <w:rPr>
                <w:rFonts w:ascii="Calibri" w:eastAsia="Times New Roman" w:hAnsi="Calibri" w:cs="Calibri"/>
                <w:b/>
                <w:i/>
                <w:color w:val="000000"/>
                <w:sz w:val="22"/>
                <w:szCs w:val="22"/>
              </w:rPr>
            </w:pPr>
            <w:r>
              <w:rPr>
                <w:rFonts w:ascii="Calibri" w:eastAsia="Times New Roman" w:hAnsi="Calibri" w:cs="Calibri"/>
                <w:b/>
                <w:i/>
                <w:color w:val="000000"/>
                <w:sz w:val="22"/>
                <w:szCs w:val="22"/>
              </w:rPr>
              <w:t xml:space="preserve"> $            </w:t>
            </w:r>
            <w:r w:rsidR="007B5FA8">
              <w:rPr>
                <w:rFonts w:ascii="Calibri" w:eastAsia="Times New Roman" w:hAnsi="Calibri" w:cs="Calibri"/>
                <w:b/>
                <w:i/>
                <w:color w:val="000000"/>
                <w:sz w:val="22"/>
                <w:szCs w:val="22"/>
              </w:rPr>
              <w:t>8</w:t>
            </w:r>
            <w:r>
              <w:rPr>
                <w:rFonts w:ascii="Calibri" w:eastAsia="Times New Roman" w:hAnsi="Calibri" w:cs="Calibri"/>
                <w:b/>
                <w:i/>
                <w:color w:val="000000"/>
                <w:sz w:val="22"/>
                <w:szCs w:val="22"/>
              </w:rPr>
              <w:t>,</w:t>
            </w:r>
            <w:r w:rsidR="007B5FA8">
              <w:rPr>
                <w:rFonts w:ascii="Calibri" w:eastAsia="Times New Roman" w:hAnsi="Calibri" w:cs="Calibri"/>
                <w:b/>
                <w:i/>
                <w:color w:val="000000"/>
                <w:sz w:val="22"/>
                <w:szCs w:val="22"/>
              </w:rPr>
              <w:t>6</w:t>
            </w:r>
            <w:r w:rsidR="00673216">
              <w:rPr>
                <w:rFonts w:ascii="Calibri" w:eastAsia="Times New Roman" w:hAnsi="Calibri" w:cs="Calibri"/>
                <w:b/>
                <w:i/>
                <w:color w:val="000000"/>
                <w:sz w:val="22"/>
                <w:szCs w:val="22"/>
              </w:rPr>
              <w:t>5</w:t>
            </w:r>
            <w:r w:rsidR="0080420C">
              <w:rPr>
                <w:rFonts w:ascii="Calibri" w:eastAsia="Times New Roman" w:hAnsi="Calibri" w:cs="Calibri"/>
                <w:b/>
                <w:i/>
                <w:color w:val="000000"/>
                <w:sz w:val="22"/>
                <w:szCs w:val="22"/>
              </w:rPr>
              <w:t>0</w:t>
            </w:r>
            <w:r w:rsidR="00BB7D8D" w:rsidRPr="00BB7D8D">
              <w:rPr>
                <w:rFonts w:ascii="Calibri" w:eastAsia="Times New Roman" w:hAnsi="Calibri" w:cs="Calibri"/>
                <w:b/>
                <w:i/>
                <w:color w:val="000000"/>
                <w:sz w:val="22"/>
                <w:szCs w:val="22"/>
              </w:rPr>
              <w:t>,</w:t>
            </w:r>
            <w:r w:rsidR="0080420C">
              <w:rPr>
                <w:rFonts w:ascii="Calibri" w:eastAsia="Times New Roman" w:hAnsi="Calibri" w:cs="Calibri"/>
                <w:b/>
                <w:i/>
                <w:color w:val="000000"/>
                <w:sz w:val="22"/>
                <w:szCs w:val="22"/>
              </w:rPr>
              <w:t>000</w:t>
            </w:r>
            <w:r w:rsidR="00BB7D8D" w:rsidRPr="00BB7D8D">
              <w:rPr>
                <w:rFonts w:ascii="Calibri" w:eastAsia="Times New Roman" w:hAnsi="Calibri" w:cs="Calibri"/>
                <w:b/>
                <w:i/>
                <w:color w:val="000000"/>
                <w:sz w:val="22"/>
                <w:szCs w:val="22"/>
              </w:rPr>
              <w:t xml:space="preserve"> </w:t>
            </w:r>
          </w:p>
        </w:tc>
      </w:tr>
    </w:tbl>
    <w:p w14:paraId="6BE8034B" w14:textId="77777777" w:rsidR="0080420C" w:rsidRDefault="0080420C" w:rsidP="00BB7D8D">
      <w:pPr>
        <w:pStyle w:val="NoSpacing"/>
      </w:pPr>
    </w:p>
    <w:p w14:paraId="3ED34D8E" w14:textId="77777777" w:rsidR="0080420C" w:rsidRDefault="0080420C" w:rsidP="0080420C">
      <w:pPr>
        <w:pStyle w:val="Heading3"/>
      </w:pPr>
      <w:r>
        <w:t>Setting of Base Percentage</w:t>
      </w:r>
    </w:p>
    <w:p w14:paraId="4B531D6C" w14:textId="77777777" w:rsidR="0080420C" w:rsidRDefault="0080420C" w:rsidP="00BB7D8D">
      <w:pPr>
        <w:pStyle w:val="NoSpacing"/>
      </w:pPr>
    </w:p>
    <w:p w14:paraId="4E9C9419" w14:textId="77777777" w:rsidR="0080420C" w:rsidRDefault="0080420C" w:rsidP="00BB7D8D">
      <w:pPr>
        <w:pStyle w:val="NoSpacing"/>
      </w:pPr>
      <w:r>
        <w:t xml:space="preserve">The DBE “base” informs the target-setting process by estimating the proportion of awards that would go to DBEs if vendors were randomly selected.  For each of the contracting opportunity categories in Table 1 (above), the proportion of DBE firms eligible to submit proposals or bids was estimated.  </w:t>
      </w:r>
    </w:p>
    <w:p w14:paraId="67EA5115" w14:textId="77777777" w:rsidR="0080420C" w:rsidRDefault="0080420C" w:rsidP="00BB7D8D">
      <w:pPr>
        <w:pStyle w:val="NoSpacing"/>
      </w:pPr>
    </w:p>
    <w:p w14:paraId="23356FD7" w14:textId="77777777" w:rsidR="0080420C" w:rsidRDefault="0080420C" w:rsidP="00BB7D8D">
      <w:pPr>
        <w:pStyle w:val="NoSpacing"/>
      </w:pPr>
      <w:r>
        <w:t>CIRTA used the firm registration process used by the Indiana Department of Administration (IDOA) to assess the proportion of DBE firms for each category.  Registering with IDOA is a requirement in order to conduct business with any State agency (except for the Indiana Department of Transportation [INDOT]</w:t>
      </w:r>
      <w:r>
        <w:rPr>
          <w:rStyle w:val="FootnoteReference"/>
        </w:rPr>
        <w:footnoteReference w:id="4"/>
      </w:r>
      <w:r>
        <w:t xml:space="preserve"> ), and includes information on NAICS codes (a useful system for classifying the product or service of the firm) and participation in the State’s DBE program.  </w:t>
      </w:r>
    </w:p>
    <w:p w14:paraId="54106372" w14:textId="77777777" w:rsidR="0080420C" w:rsidRDefault="0080420C" w:rsidP="00BB7D8D">
      <w:pPr>
        <w:pStyle w:val="NoSpacing"/>
      </w:pPr>
    </w:p>
    <w:p w14:paraId="13C3EC2D" w14:textId="77777777" w:rsidR="0080420C" w:rsidRDefault="0080420C" w:rsidP="00BB7D8D">
      <w:pPr>
        <w:pStyle w:val="NoSpacing"/>
      </w:pPr>
      <w:r>
        <w:t xml:space="preserve">Conclusions for the availability of DBEs for each of the contracting categories are listed below:  </w:t>
      </w:r>
    </w:p>
    <w:p w14:paraId="5E483311" w14:textId="77777777" w:rsidR="0080420C" w:rsidRDefault="0080420C" w:rsidP="00BB7D8D">
      <w:pPr>
        <w:pStyle w:val="NoSpacing"/>
      </w:pPr>
    </w:p>
    <w:p w14:paraId="12DC0046" w14:textId="77777777" w:rsidR="0080420C" w:rsidRDefault="0080420C" w:rsidP="0080420C">
      <w:pPr>
        <w:pStyle w:val="NoSpacing"/>
        <w:numPr>
          <w:ilvl w:val="0"/>
          <w:numId w:val="54"/>
        </w:numPr>
      </w:pPr>
      <w:r w:rsidRPr="00FE013C">
        <w:rPr>
          <w:b/>
          <w:i/>
        </w:rPr>
        <w:t>Vanpool programs</w:t>
      </w:r>
      <w:r>
        <w:t xml:space="preserve">.  </w:t>
      </w:r>
      <w:r w:rsidR="00FE013C">
        <w:t xml:space="preserve">While the NAICS code system does include an entry for vanpool formation, there are no firms in the State formally registered as such (CIRTA’s existing contractor, which is </w:t>
      </w:r>
      <w:r w:rsidR="00FE013C">
        <w:rPr>
          <w:u w:val="single"/>
        </w:rPr>
        <w:t>not</w:t>
      </w:r>
      <w:r w:rsidR="00FE013C">
        <w:t xml:space="preserve"> a DBE, is actually registered as a car rental company).   Not being content with having only one available company with which to contract, CIRTA continually networks with other ride-share programs to see if there are other interested vendors, to no avail.  </w:t>
      </w:r>
      <w:r w:rsidR="00FE013C" w:rsidRPr="00F46ED2">
        <w:rPr>
          <w:u w:val="single"/>
        </w:rPr>
        <w:t>DBE availability: 0%.</w:t>
      </w:r>
      <w:r w:rsidR="00FE013C">
        <w:t xml:space="preserve">  </w:t>
      </w:r>
    </w:p>
    <w:p w14:paraId="1D0342E4" w14:textId="77777777" w:rsidR="00FE013C" w:rsidRDefault="00FE013C" w:rsidP="0080420C">
      <w:pPr>
        <w:pStyle w:val="NoSpacing"/>
        <w:numPr>
          <w:ilvl w:val="0"/>
          <w:numId w:val="54"/>
        </w:numPr>
      </w:pPr>
      <w:r w:rsidRPr="00FE013C">
        <w:rPr>
          <w:b/>
          <w:i/>
        </w:rPr>
        <w:lastRenderedPageBreak/>
        <w:t>Voucher programs</w:t>
      </w:r>
      <w:r>
        <w:t xml:space="preserve">.  Note that there is no NAICS code for voucher-based transportation assistance.  Furthermore, the nature of voucher programs is such that the transportation provider is not necessarily known in advance; it may be the case that the  provider ends up being a DBE, but because the passenger is choosing the service, this selection cannot be controlled.  The administrator of the program, the Central Indiana Council on Aging, is a quasi-public, not-for-profit agency.  No other providers of transportation voucher programs are known in Central Indiana.  </w:t>
      </w:r>
      <w:r w:rsidRPr="00F46ED2">
        <w:rPr>
          <w:u w:val="single"/>
        </w:rPr>
        <w:t>DBE availability: 0%.</w:t>
      </w:r>
      <w:r>
        <w:t xml:space="preserve"> </w:t>
      </w:r>
      <w:r w:rsidR="00F46ED2">
        <w:t xml:space="preserve"> </w:t>
      </w:r>
    </w:p>
    <w:p w14:paraId="2129E6EB" w14:textId="77777777" w:rsidR="00FE013C" w:rsidRDefault="008E30D1" w:rsidP="0080420C">
      <w:pPr>
        <w:pStyle w:val="NoSpacing"/>
        <w:numPr>
          <w:ilvl w:val="0"/>
          <w:numId w:val="54"/>
        </w:numPr>
      </w:pPr>
      <w:r w:rsidRPr="008E30D1">
        <w:rPr>
          <w:b/>
          <w:i/>
        </w:rPr>
        <w:t>Connector services</w:t>
      </w:r>
      <w:r>
        <w:t xml:space="preserve">.  The IDOA directory lists </w:t>
      </w:r>
      <w:r w:rsidR="00673216">
        <w:t>five</w:t>
      </w:r>
      <w:r>
        <w:t xml:space="preserve"> (</w:t>
      </w:r>
      <w:r w:rsidR="00673216">
        <w:t>5</w:t>
      </w:r>
      <w:r>
        <w:t xml:space="preserve">) </w:t>
      </w:r>
      <w:r w:rsidR="00673216">
        <w:t xml:space="preserve">DBE </w:t>
      </w:r>
      <w:r>
        <w:t>companies in Indiana that provide charter bus transportation</w:t>
      </w:r>
      <w:r>
        <w:rPr>
          <w:rStyle w:val="FootnoteReference"/>
        </w:rPr>
        <w:footnoteReference w:id="5"/>
      </w:r>
      <w:r>
        <w:t xml:space="preserve">.  However, </w:t>
      </w:r>
      <w:r w:rsidR="00673216">
        <w:t>only one was available in Central Indiana, and provides limousine rather than</w:t>
      </w:r>
      <w:r w:rsidR="00F2743E">
        <w:t xml:space="preserve"> shuttle service; this firm was therefore eliminated from further consideration</w:t>
      </w:r>
      <w:r>
        <w:t xml:space="preserve">.  </w:t>
      </w:r>
      <w:r w:rsidRPr="00F46ED2">
        <w:rPr>
          <w:u w:val="single"/>
        </w:rPr>
        <w:t>DBE availability: 0%.</w:t>
      </w:r>
      <w:r>
        <w:t xml:space="preserve">  </w:t>
      </w:r>
    </w:p>
    <w:p w14:paraId="5F8C80CA" w14:textId="77777777" w:rsidR="008E30D1" w:rsidRPr="0080420C" w:rsidRDefault="008E30D1" w:rsidP="008E30D1">
      <w:pPr>
        <w:pStyle w:val="NoSpacing"/>
        <w:numPr>
          <w:ilvl w:val="0"/>
          <w:numId w:val="54"/>
        </w:numPr>
      </w:pPr>
      <w:r w:rsidRPr="005D3C6A">
        <w:rPr>
          <w:b/>
          <w:i/>
        </w:rPr>
        <w:t>Professional/Technical services</w:t>
      </w:r>
      <w:r>
        <w:t>.  Because these type</w:t>
      </w:r>
      <w:r w:rsidR="003C0F71">
        <w:t>s</w:t>
      </w:r>
      <w:r>
        <w:t xml:space="preserve"> of services may fall under a large variety of classifications in the </w:t>
      </w:r>
      <w:r w:rsidR="00062A2F">
        <w:t>UNSPSC</w:t>
      </w:r>
      <w:r>
        <w:t xml:space="preserve"> system, the umbrella (2-digit) </w:t>
      </w:r>
      <w:r w:rsidR="00062A2F">
        <w:t>UNSPSC</w:t>
      </w:r>
      <w:r>
        <w:t xml:space="preserve"> code</w:t>
      </w:r>
      <w:r w:rsidR="00062A2F">
        <w:t>s</w:t>
      </w:r>
      <w:r>
        <w:t xml:space="preserve"> of </w:t>
      </w:r>
      <w:r w:rsidR="00062A2F">
        <w:t xml:space="preserve">80 through 84 were </w:t>
      </w:r>
      <w:r>
        <w:t xml:space="preserve">used as a proxy for DBE availability.  Of the </w:t>
      </w:r>
      <w:r w:rsidR="00062A2F">
        <w:t>10,365</w:t>
      </w:r>
      <w:r>
        <w:t xml:space="preserve"> businesses in this category, </w:t>
      </w:r>
      <w:r w:rsidR="00062A2F">
        <w:t>3,462</w:t>
      </w:r>
      <w:r>
        <w:t xml:space="preserve"> are classified as DBEs.  </w:t>
      </w:r>
      <w:r w:rsidRPr="00F46ED2">
        <w:rPr>
          <w:u w:val="single"/>
        </w:rPr>
        <w:t>DBE availability:  3</w:t>
      </w:r>
      <w:r w:rsidR="00062A2F">
        <w:rPr>
          <w:u w:val="single"/>
        </w:rPr>
        <w:t>3</w:t>
      </w:r>
      <w:r w:rsidRPr="00F46ED2">
        <w:rPr>
          <w:u w:val="single"/>
        </w:rPr>
        <w:t>%.</w:t>
      </w:r>
      <w:r>
        <w:t xml:space="preserve">  </w:t>
      </w:r>
    </w:p>
    <w:p w14:paraId="2C35A0CC" w14:textId="77777777" w:rsidR="0080420C" w:rsidRDefault="0080420C" w:rsidP="00BB7D8D">
      <w:pPr>
        <w:pStyle w:val="NoSpacing"/>
      </w:pPr>
    </w:p>
    <w:p w14:paraId="20667CAA" w14:textId="77777777" w:rsidR="0080420C" w:rsidRDefault="008E30D1" w:rsidP="00BB7D8D">
      <w:pPr>
        <w:pStyle w:val="NoSpacing"/>
      </w:pPr>
      <w:r>
        <w:t xml:space="preserve">Table 2 applies the DBE availability for each category to the total projected awards, to arrive at an estimate of contracts that would be awarded to DBE firms under the condition of random selection:  </w:t>
      </w:r>
    </w:p>
    <w:p w14:paraId="16C95556" w14:textId="77777777" w:rsidR="008E30D1" w:rsidRDefault="008E30D1" w:rsidP="00BB7D8D">
      <w:pPr>
        <w:pStyle w:val="NoSpacing"/>
      </w:pPr>
    </w:p>
    <w:p w14:paraId="44DB73F9" w14:textId="77777777" w:rsidR="008E30D1" w:rsidRPr="00552890" w:rsidRDefault="008E30D1" w:rsidP="00BB7D8D">
      <w:pPr>
        <w:pStyle w:val="NoSpacing"/>
        <w:rPr>
          <w:b/>
        </w:rPr>
      </w:pPr>
      <w:r w:rsidRPr="00552890">
        <w:rPr>
          <w:b/>
        </w:rPr>
        <w:t xml:space="preserve">Table 2: Projected DBE </w:t>
      </w:r>
      <w:r w:rsidR="00552890" w:rsidRPr="00552890">
        <w:rPr>
          <w:b/>
        </w:rPr>
        <w:t>awards under random selection</w:t>
      </w:r>
    </w:p>
    <w:tbl>
      <w:tblPr>
        <w:tblW w:w="7447" w:type="dxa"/>
        <w:tblInd w:w="103" w:type="dxa"/>
        <w:tblLook w:val="04A0" w:firstRow="1" w:lastRow="0" w:firstColumn="1" w:lastColumn="0" w:noHBand="0" w:noVBand="1"/>
      </w:tblPr>
      <w:tblGrid>
        <w:gridCol w:w="2328"/>
        <w:gridCol w:w="1997"/>
        <w:gridCol w:w="1440"/>
        <w:gridCol w:w="1682"/>
      </w:tblGrid>
      <w:tr w:rsidR="008E30D1" w:rsidRPr="008E30D1" w14:paraId="3B8BD907" w14:textId="77777777" w:rsidTr="00552890">
        <w:trPr>
          <w:trHeight w:val="300"/>
        </w:trPr>
        <w:tc>
          <w:tcPr>
            <w:tcW w:w="2328" w:type="dxa"/>
            <w:tcBorders>
              <w:top w:val="single" w:sz="4" w:space="0" w:color="000000"/>
              <w:left w:val="single" w:sz="4" w:space="0" w:color="000000"/>
              <w:bottom w:val="nil"/>
              <w:right w:val="nil"/>
            </w:tcBorders>
            <w:shd w:val="clear" w:color="000000" w:fill="000000"/>
            <w:noWrap/>
            <w:vAlign w:val="bottom"/>
            <w:hideMark/>
          </w:tcPr>
          <w:p w14:paraId="31FCE5FC" w14:textId="77777777" w:rsidR="008E30D1" w:rsidRPr="008E30D1" w:rsidRDefault="008E30D1" w:rsidP="008E30D1">
            <w:pPr>
              <w:spacing w:before="0" w:after="0" w:line="240" w:lineRule="auto"/>
              <w:rPr>
                <w:rFonts w:ascii="Calibri" w:eastAsia="Times New Roman" w:hAnsi="Calibri" w:cs="Calibri"/>
                <w:b/>
                <w:bCs/>
                <w:color w:val="FFFFFF"/>
                <w:sz w:val="22"/>
                <w:szCs w:val="22"/>
              </w:rPr>
            </w:pPr>
            <w:r w:rsidRPr="008E30D1">
              <w:rPr>
                <w:rFonts w:ascii="Calibri" w:eastAsia="Times New Roman" w:hAnsi="Calibri" w:cs="Calibri"/>
                <w:b/>
                <w:bCs/>
                <w:color w:val="FFFFFF"/>
                <w:sz w:val="22"/>
                <w:szCs w:val="22"/>
              </w:rPr>
              <w:t>Program</w:t>
            </w:r>
          </w:p>
        </w:tc>
        <w:tc>
          <w:tcPr>
            <w:tcW w:w="1997" w:type="dxa"/>
            <w:tcBorders>
              <w:top w:val="single" w:sz="4" w:space="0" w:color="000000"/>
              <w:left w:val="nil"/>
              <w:bottom w:val="nil"/>
              <w:right w:val="nil"/>
            </w:tcBorders>
            <w:shd w:val="clear" w:color="000000" w:fill="000000"/>
            <w:noWrap/>
            <w:vAlign w:val="bottom"/>
            <w:hideMark/>
          </w:tcPr>
          <w:p w14:paraId="4E0FB5CF" w14:textId="77777777" w:rsidR="008E30D1" w:rsidRPr="008E30D1" w:rsidRDefault="008E30D1" w:rsidP="008E30D1">
            <w:pPr>
              <w:spacing w:before="0" w:after="0" w:line="240" w:lineRule="auto"/>
              <w:rPr>
                <w:rFonts w:ascii="Calibri" w:eastAsia="Times New Roman" w:hAnsi="Calibri" w:cs="Calibri"/>
                <w:b/>
                <w:bCs/>
                <w:color w:val="FFFFFF"/>
                <w:sz w:val="22"/>
                <w:szCs w:val="22"/>
              </w:rPr>
            </w:pPr>
            <w:r w:rsidRPr="008E30D1">
              <w:rPr>
                <w:rFonts w:ascii="Calibri" w:eastAsia="Times New Roman" w:hAnsi="Calibri" w:cs="Calibri"/>
                <w:b/>
                <w:bCs/>
                <w:color w:val="FFFFFF"/>
                <w:sz w:val="22"/>
                <w:szCs w:val="22"/>
              </w:rPr>
              <w:t>5-year amount</w:t>
            </w:r>
          </w:p>
        </w:tc>
        <w:tc>
          <w:tcPr>
            <w:tcW w:w="1440" w:type="dxa"/>
            <w:tcBorders>
              <w:top w:val="single" w:sz="4" w:space="0" w:color="000000"/>
              <w:left w:val="nil"/>
              <w:bottom w:val="nil"/>
              <w:right w:val="nil"/>
            </w:tcBorders>
            <w:shd w:val="clear" w:color="000000" w:fill="000000"/>
            <w:noWrap/>
            <w:vAlign w:val="bottom"/>
            <w:hideMark/>
          </w:tcPr>
          <w:p w14:paraId="4BBEA80E" w14:textId="77777777" w:rsidR="008E30D1" w:rsidRPr="008E30D1" w:rsidRDefault="008E30D1" w:rsidP="00552890">
            <w:pPr>
              <w:spacing w:before="0" w:after="0" w:line="240" w:lineRule="auto"/>
              <w:rPr>
                <w:rFonts w:ascii="Calibri" w:eastAsia="Times New Roman" w:hAnsi="Calibri" w:cs="Calibri"/>
                <w:b/>
                <w:bCs/>
                <w:color w:val="FFFFFF"/>
                <w:sz w:val="22"/>
                <w:szCs w:val="22"/>
              </w:rPr>
            </w:pPr>
            <w:r w:rsidRPr="008E30D1">
              <w:rPr>
                <w:rFonts w:ascii="Calibri" w:eastAsia="Times New Roman" w:hAnsi="Calibri" w:cs="Calibri"/>
                <w:b/>
                <w:bCs/>
                <w:color w:val="FFFFFF"/>
                <w:sz w:val="22"/>
                <w:szCs w:val="22"/>
              </w:rPr>
              <w:t xml:space="preserve"> DBE avail</w:t>
            </w:r>
            <w:r w:rsidR="00552890">
              <w:rPr>
                <w:rFonts w:ascii="Calibri" w:eastAsia="Times New Roman" w:hAnsi="Calibri" w:cs="Calibri"/>
                <w:b/>
                <w:bCs/>
                <w:color w:val="FFFFFF"/>
                <w:sz w:val="22"/>
                <w:szCs w:val="22"/>
              </w:rPr>
              <w:t>.</w:t>
            </w:r>
            <w:r w:rsidRPr="008E30D1">
              <w:rPr>
                <w:rFonts w:ascii="Calibri" w:eastAsia="Times New Roman" w:hAnsi="Calibri" w:cs="Calibri"/>
                <w:b/>
                <w:bCs/>
                <w:color w:val="FFFFFF"/>
                <w:sz w:val="22"/>
                <w:szCs w:val="22"/>
              </w:rPr>
              <w:t xml:space="preserve"> </w:t>
            </w:r>
          </w:p>
        </w:tc>
        <w:tc>
          <w:tcPr>
            <w:tcW w:w="1682" w:type="dxa"/>
            <w:tcBorders>
              <w:top w:val="single" w:sz="4" w:space="0" w:color="000000"/>
              <w:left w:val="nil"/>
              <w:bottom w:val="nil"/>
              <w:right w:val="single" w:sz="4" w:space="0" w:color="000000"/>
            </w:tcBorders>
            <w:shd w:val="clear" w:color="000000" w:fill="000000"/>
            <w:noWrap/>
            <w:vAlign w:val="bottom"/>
            <w:hideMark/>
          </w:tcPr>
          <w:p w14:paraId="6C420377" w14:textId="77777777" w:rsidR="008E30D1" w:rsidRPr="008E30D1" w:rsidRDefault="008E30D1" w:rsidP="00552890">
            <w:pPr>
              <w:spacing w:before="0" w:after="0" w:line="240" w:lineRule="auto"/>
              <w:rPr>
                <w:rFonts w:ascii="Calibri" w:eastAsia="Times New Roman" w:hAnsi="Calibri" w:cs="Calibri"/>
                <w:b/>
                <w:bCs/>
                <w:color w:val="FFFFFF"/>
                <w:sz w:val="22"/>
                <w:szCs w:val="22"/>
              </w:rPr>
            </w:pPr>
            <w:r w:rsidRPr="008E30D1">
              <w:rPr>
                <w:rFonts w:ascii="Calibri" w:eastAsia="Times New Roman" w:hAnsi="Calibri" w:cs="Calibri"/>
                <w:b/>
                <w:bCs/>
                <w:color w:val="FFFFFF"/>
                <w:sz w:val="22"/>
                <w:szCs w:val="22"/>
              </w:rPr>
              <w:t xml:space="preserve">DBE </w:t>
            </w:r>
            <w:r w:rsidR="00552890">
              <w:rPr>
                <w:rFonts w:ascii="Calibri" w:eastAsia="Times New Roman" w:hAnsi="Calibri" w:cs="Calibri"/>
                <w:b/>
                <w:bCs/>
                <w:color w:val="FFFFFF"/>
                <w:sz w:val="22"/>
                <w:szCs w:val="22"/>
              </w:rPr>
              <w:t>awards</w:t>
            </w:r>
          </w:p>
        </w:tc>
      </w:tr>
      <w:tr w:rsidR="008E30D1" w:rsidRPr="008E30D1" w14:paraId="3F107EC8" w14:textId="77777777" w:rsidTr="00552890">
        <w:trPr>
          <w:trHeight w:val="300"/>
        </w:trPr>
        <w:tc>
          <w:tcPr>
            <w:tcW w:w="2328" w:type="dxa"/>
            <w:tcBorders>
              <w:top w:val="single" w:sz="4" w:space="0" w:color="000000"/>
              <w:left w:val="single" w:sz="4" w:space="0" w:color="000000"/>
              <w:bottom w:val="nil"/>
              <w:right w:val="nil"/>
            </w:tcBorders>
            <w:shd w:val="clear" w:color="auto" w:fill="auto"/>
            <w:noWrap/>
            <w:vAlign w:val="bottom"/>
            <w:hideMark/>
          </w:tcPr>
          <w:p w14:paraId="7F11B17D" w14:textId="77777777" w:rsidR="008E30D1" w:rsidRPr="008E30D1" w:rsidRDefault="008E30D1" w:rsidP="008E30D1">
            <w:pPr>
              <w:spacing w:before="0" w:after="0" w:line="240" w:lineRule="auto"/>
              <w:rPr>
                <w:rFonts w:ascii="Calibri" w:eastAsia="Times New Roman" w:hAnsi="Calibri" w:cs="Calibri"/>
                <w:color w:val="000000"/>
                <w:sz w:val="22"/>
                <w:szCs w:val="22"/>
              </w:rPr>
            </w:pPr>
            <w:r w:rsidRPr="008E30D1">
              <w:rPr>
                <w:rFonts w:ascii="Calibri" w:eastAsia="Times New Roman" w:hAnsi="Calibri" w:cs="Calibri"/>
                <w:color w:val="000000"/>
                <w:sz w:val="22"/>
                <w:szCs w:val="22"/>
              </w:rPr>
              <w:t>Vanpool programs</w:t>
            </w:r>
          </w:p>
        </w:tc>
        <w:tc>
          <w:tcPr>
            <w:tcW w:w="1997" w:type="dxa"/>
            <w:tcBorders>
              <w:top w:val="single" w:sz="4" w:space="0" w:color="000000"/>
              <w:left w:val="nil"/>
              <w:bottom w:val="nil"/>
              <w:right w:val="nil"/>
            </w:tcBorders>
            <w:shd w:val="clear" w:color="auto" w:fill="auto"/>
            <w:noWrap/>
            <w:vAlign w:val="bottom"/>
            <w:hideMark/>
          </w:tcPr>
          <w:p w14:paraId="64D30158" w14:textId="77777777" w:rsidR="008E30D1" w:rsidRPr="008E30D1" w:rsidRDefault="008E30D1" w:rsidP="008E30D1">
            <w:pPr>
              <w:spacing w:before="0" w:after="0" w:line="240" w:lineRule="auto"/>
              <w:rPr>
                <w:rFonts w:ascii="Calibri" w:eastAsia="Times New Roman" w:hAnsi="Calibri" w:cs="Calibri"/>
                <w:color w:val="000000"/>
                <w:sz w:val="22"/>
                <w:szCs w:val="22"/>
              </w:rPr>
            </w:pPr>
            <w:r w:rsidRPr="008E30D1">
              <w:rPr>
                <w:rFonts w:ascii="Calibri" w:eastAsia="Times New Roman" w:hAnsi="Calibri" w:cs="Calibri"/>
                <w:color w:val="000000"/>
                <w:sz w:val="22"/>
                <w:szCs w:val="22"/>
              </w:rPr>
              <w:t xml:space="preserve"> $            1,600,000 </w:t>
            </w:r>
          </w:p>
        </w:tc>
        <w:tc>
          <w:tcPr>
            <w:tcW w:w="1440" w:type="dxa"/>
            <w:tcBorders>
              <w:top w:val="single" w:sz="4" w:space="0" w:color="000000"/>
              <w:left w:val="nil"/>
              <w:bottom w:val="nil"/>
              <w:right w:val="nil"/>
            </w:tcBorders>
            <w:shd w:val="clear" w:color="auto" w:fill="auto"/>
            <w:noWrap/>
            <w:vAlign w:val="bottom"/>
            <w:hideMark/>
          </w:tcPr>
          <w:p w14:paraId="0DE76D68" w14:textId="77777777" w:rsidR="008E30D1" w:rsidRPr="008E30D1" w:rsidRDefault="008E30D1" w:rsidP="008E30D1">
            <w:pPr>
              <w:spacing w:before="0" w:after="0" w:line="240" w:lineRule="auto"/>
              <w:jc w:val="right"/>
              <w:rPr>
                <w:rFonts w:ascii="Calibri" w:eastAsia="Times New Roman" w:hAnsi="Calibri" w:cs="Calibri"/>
                <w:color w:val="000000"/>
                <w:sz w:val="22"/>
                <w:szCs w:val="22"/>
              </w:rPr>
            </w:pPr>
            <w:r w:rsidRPr="008E30D1">
              <w:rPr>
                <w:rFonts w:ascii="Calibri" w:eastAsia="Times New Roman" w:hAnsi="Calibri" w:cs="Calibri"/>
                <w:color w:val="000000"/>
                <w:sz w:val="22"/>
                <w:szCs w:val="22"/>
              </w:rPr>
              <w:t>0%</w:t>
            </w:r>
          </w:p>
        </w:tc>
        <w:tc>
          <w:tcPr>
            <w:tcW w:w="1682" w:type="dxa"/>
            <w:tcBorders>
              <w:top w:val="single" w:sz="4" w:space="0" w:color="000000"/>
              <w:left w:val="nil"/>
              <w:bottom w:val="nil"/>
              <w:right w:val="single" w:sz="4" w:space="0" w:color="000000"/>
            </w:tcBorders>
            <w:shd w:val="clear" w:color="auto" w:fill="auto"/>
            <w:noWrap/>
            <w:vAlign w:val="bottom"/>
            <w:hideMark/>
          </w:tcPr>
          <w:p w14:paraId="025CD97F" w14:textId="77777777" w:rsidR="008E30D1" w:rsidRPr="008E30D1" w:rsidRDefault="008E30D1" w:rsidP="008E30D1">
            <w:pPr>
              <w:spacing w:before="0" w:after="0" w:line="240" w:lineRule="auto"/>
              <w:rPr>
                <w:rFonts w:ascii="Calibri" w:eastAsia="Times New Roman" w:hAnsi="Calibri" w:cs="Calibri"/>
                <w:color w:val="000000"/>
                <w:sz w:val="22"/>
                <w:szCs w:val="22"/>
              </w:rPr>
            </w:pPr>
            <w:r w:rsidRPr="008E30D1">
              <w:rPr>
                <w:rFonts w:ascii="Calibri" w:eastAsia="Times New Roman" w:hAnsi="Calibri" w:cs="Calibri"/>
                <w:color w:val="000000"/>
                <w:sz w:val="22"/>
                <w:szCs w:val="22"/>
              </w:rPr>
              <w:t xml:space="preserve"> $                   -   </w:t>
            </w:r>
          </w:p>
        </w:tc>
      </w:tr>
      <w:tr w:rsidR="008E30D1" w:rsidRPr="008E30D1" w14:paraId="1399F0A8" w14:textId="77777777" w:rsidTr="00552890">
        <w:trPr>
          <w:trHeight w:val="300"/>
        </w:trPr>
        <w:tc>
          <w:tcPr>
            <w:tcW w:w="2328" w:type="dxa"/>
            <w:tcBorders>
              <w:top w:val="single" w:sz="4" w:space="0" w:color="000000"/>
              <w:left w:val="single" w:sz="4" w:space="0" w:color="000000"/>
              <w:bottom w:val="nil"/>
              <w:right w:val="nil"/>
            </w:tcBorders>
            <w:shd w:val="clear" w:color="auto" w:fill="auto"/>
            <w:noWrap/>
            <w:vAlign w:val="bottom"/>
            <w:hideMark/>
          </w:tcPr>
          <w:p w14:paraId="76DC877C" w14:textId="77777777" w:rsidR="008E30D1" w:rsidRPr="008E30D1" w:rsidRDefault="008E30D1" w:rsidP="008E30D1">
            <w:pPr>
              <w:spacing w:before="0" w:after="0" w:line="240" w:lineRule="auto"/>
              <w:rPr>
                <w:rFonts w:ascii="Calibri" w:eastAsia="Times New Roman" w:hAnsi="Calibri" w:cs="Calibri"/>
                <w:color w:val="000000"/>
                <w:sz w:val="22"/>
                <w:szCs w:val="22"/>
              </w:rPr>
            </w:pPr>
            <w:r w:rsidRPr="008E30D1">
              <w:rPr>
                <w:rFonts w:ascii="Calibri" w:eastAsia="Times New Roman" w:hAnsi="Calibri" w:cs="Calibri"/>
                <w:color w:val="000000"/>
                <w:sz w:val="22"/>
                <w:szCs w:val="22"/>
              </w:rPr>
              <w:t>Vouchers</w:t>
            </w:r>
          </w:p>
        </w:tc>
        <w:tc>
          <w:tcPr>
            <w:tcW w:w="1997" w:type="dxa"/>
            <w:tcBorders>
              <w:top w:val="single" w:sz="4" w:space="0" w:color="000000"/>
              <w:left w:val="nil"/>
              <w:bottom w:val="nil"/>
              <w:right w:val="nil"/>
            </w:tcBorders>
            <w:shd w:val="clear" w:color="auto" w:fill="auto"/>
            <w:noWrap/>
            <w:vAlign w:val="bottom"/>
            <w:hideMark/>
          </w:tcPr>
          <w:p w14:paraId="0546A62C" w14:textId="77777777" w:rsidR="008E30D1" w:rsidRPr="008E30D1" w:rsidRDefault="008E30D1" w:rsidP="008E30D1">
            <w:pPr>
              <w:spacing w:before="0" w:after="0" w:line="240" w:lineRule="auto"/>
              <w:rPr>
                <w:rFonts w:ascii="Calibri" w:eastAsia="Times New Roman" w:hAnsi="Calibri" w:cs="Calibri"/>
                <w:color w:val="000000"/>
                <w:sz w:val="22"/>
                <w:szCs w:val="22"/>
              </w:rPr>
            </w:pPr>
            <w:r w:rsidRPr="008E30D1">
              <w:rPr>
                <w:rFonts w:ascii="Calibri" w:eastAsia="Times New Roman" w:hAnsi="Calibri" w:cs="Calibri"/>
                <w:color w:val="000000"/>
                <w:sz w:val="22"/>
                <w:szCs w:val="22"/>
              </w:rPr>
              <w:t xml:space="preserve"> $                300,000 </w:t>
            </w:r>
          </w:p>
        </w:tc>
        <w:tc>
          <w:tcPr>
            <w:tcW w:w="1440" w:type="dxa"/>
            <w:tcBorders>
              <w:top w:val="single" w:sz="4" w:space="0" w:color="000000"/>
              <w:left w:val="nil"/>
              <w:bottom w:val="nil"/>
              <w:right w:val="nil"/>
            </w:tcBorders>
            <w:shd w:val="clear" w:color="auto" w:fill="auto"/>
            <w:noWrap/>
            <w:vAlign w:val="bottom"/>
            <w:hideMark/>
          </w:tcPr>
          <w:p w14:paraId="02619EDC" w14:textId="77777777" w:rsidR="008E30D1" w:rsidRPr="008E30D1" w:rsidRDefault="008E30D1" w:rsidP="008E30D1">
            <w:pPr>
              <w:spacing w:before="0" w:after="0" w:line="240" w:lineRule="auto"/>
              <w:jc w:val="right"/>
              <w:rPr>
                <w:rFonts w:ascii="Calibri" w:eastAsia="Times New Roman" w:hAnsi="Calibri" w:cs="Calibri"/>
                <w:color w:val="000000"/>
                <w:sz w:val="22"/>
                <w:szCs w:val="22"/>
              </w:rPr>
            </w:pPr>
            <w:r w:rsidRPr="008E30D1">
              <w:rPr>
                <w:rFonts w:ascii="Calibri" w:eastAsia="Times New Roman" w:hAnsi="Calibri" w:cs="Calibri"/>
                <w:color w:val="000000"/>
                <w:sz w:val="22"/>
                <w:szCs w:val="22"/>
              </w:rPr>
              <w:t>0%</w:t>
            </w:r>
          </w:p>
        </w:tc>
        <w:tc>
          <w:tcPr>
            <w:tcW w:w="1682" w:type="dxa"/>
            <w:tcBorders>
              <w:top w:val="single" w:sz="4" w:space="0" w:color="000000"/>
              <w:left w:val="nil"/>
              <w:bottom w:val="nil"/>
              <w:right w:val="single" w:sz="4" w:space="0" w:color="000000"/>
            </w:tcBorders>
            <w:shd w:val="clear" w:color="auto" w:fill="auto"/>
            <w:noWrap/>
            <w:vAlign w:val="bottom"/>
            <w:hideMark/>
          </w:tcPr>
          <w:p w14:paraId="76180C39" w14:textId="77777777" w:rsidR="008E30D1" w:rsidRPr="008E30D1" w:rsidRDefault="008E30D1" w:rsidP="008E30D1">
            <w:pPr>
              <w:spacing w:before="0" w:after="0" w:line="240" w:lineRule="auto"/>
              <w:rPr>
                <w:rFonts w:ascii="Calibri" w:eastAsia="Times New Roman" w:hAnsi="Calibri" w:cs="Calibri"/>
                <w:color w:val="000000"/>
                <w:sz w:val="22"/>
                <w:szCs w:val="22"/>
              </w:rPr>
            </w:pPr>
            <w:r w:rsidRPr="008E30D1">
              <w:rPr>
                <w:rFonts w:ascii="Calibri" w:eastAsia="Times New Roman" w:hAnsi="Calibri" w:cs="Calibri"/>
                <w:color w:val="000000"/>
                <w:sz w:val="22"/>
                <w:szCs w:val="22"/>
              </w:rPr>
              <w:t xml:space="preserve"> $                   -   </w:t>
            </w:r>
          </w:p>
        </w:tc>
      </w:tr>
      <w:tr w:rsidR="008E30D1" w:rsidRPr="008E30D1" w14:paraId="5A9816D4" w14:textId="77777777" w:rsidTr="00552890">
        <w:trPr>
          <w:trHeight w:val="300"/>
        </w:trPr>
        <w:tc>
          <w:tcPr>
            <w:tcW w:w="2328" w:type="dxa"/>
            <w:tcBorders>
              <w:top w:val="single" w:sz="4" w:space="0" w:color="000000"/>
              <w:left w:val="single" w:sz="4" w:space="0" w:color="000000"/>
              <w:bottom w:val="nil"/>
              <w:right w:val="nil"/>
            </w:tcBorders>
            <w:shd w:val="clear" w:color="auto" w:fill="auto"/>
            <w:noWrap/>
            <w:vAlign w:val="bottom"/>
            <w:hideMark/>
          </w:tcPr>
          <w:p w14:paraId="13B21083" w14:textId="77777777" w:rsidR="008E30D1" w:rsidRPr="008E30D1" w:rsidRDefault="008E30D1" w:rsidP="008E30D1">
            <w:pPr>
              <w:spacing w:before="0" w:after="0" w:line="240" w:lineRule="auto"/>
              <w:rPr>
                <w:rFonts w:ascii="Calibri" w:eastAsia="Times New Roman" w:hAnsi="Calibri" w:cs="Calibri"/>
                <w:color w:val="000000"/>
                <w:sz w:val="22"/>
                <w:szCs w:val="22"/>
              </w:rPr>
            </w:pPr>
            <w:r w:rsidRPr="008E30D1">
              <w:rPr>
                <w:rFonts w:ascii="Calibri" w:eastAsia="Times New Roman" w:hAnsi="Calibri" w:cs="Calibri"/>
                <w:color w:val="000000"/>
                <w:sz w:val="22"/>
                <w:szCs w:val="22"/>
              </w:rPr>
              <w:t>Connectors</w:t>
            </w:r>
          </w:p>
        </w:tc>
        <w:tc>
          <w:tcPr>
            <w:tcW w:w="1997" w:type="dxa"/>
            <w:tcBorders>
              <w:top w:val="single" w:sz="4" w:space="0" w:color="000000"/>
              <w:left w:val="nil"/>
              <w:bottom w:val="nil"/>
              <w:right w:val="nil"/>
            </w:tcBorders>
            <w:shd w:val="clear" w:color="auto" w:fill="auto"/>
            <w:noWrap/>
            <w:vAlign w:val="bottom"/>
            <w:hideMark/>
          </w:tcPr>
          <w:p w14:paraId="31301CE6" w14:textId="77777777" w:rsidR="008E30D1" w:rsidRPr="008E30D1" w:rsidRDefault="008E30D1" w:rsidP="008E30D1">
            <w:pPr>
              <w:spacing w:before="0" w:after="0" w:line="240" w:lineRule="auto"/>
              <w:rPr>
                <w:rFonts w:ascii="Calibri" w:eastAsia="Times New Roman" w:hAnsi="Calibri" w:cs="Calibri"/>
                <w:color w:val="000000"/>
                <w:sz w:val="22"/>
                <w:szCs w:val="22"/>
              </w:rPr>
            </w:pPr>
            <w:r w:rsidRPr="008E30D1">
              <w:rPr>
                <w:rFonts w:ascii="Calibri" w:eastAsia="Times New Roman" w:hAnsi="Calibri" w:cs="Calibri"/>
                <w:color w:val="000000"/>
                <w:sz w:val="22"/>
                <w:szCs w:val="22"/>
              </w:rPr>
              <w:t xml:space="preserve"> $            </w:t>
            </w:r>
            <w:r w:rsidR="00062A2F">
              <w:rPr>
                <w:rFonts w:ascii="Calibri" w:eastAsia="Times New Roman" w:hAnsi="Calibri" w:cs="Calibri"/>
                <w:color w:val="000000"/>
                <w:sz w:val="22"/>
                <w:szCs w:val="22"/>
              </w:rPr>
              <w:t>3</w:t>
            </w:r>
            <w:r w:rsidRPr="008E30D1">
              <w:rPr>
                <w:rFonts w:ascii="Calibri" w:eastAsia="Times New Roman" w:hAnsi="Calibri" w:cs="Calibri"/>
                <w:color w:val="000000"/>
                <w:sz w:val="22"/>
                <w:szCs w:val="22"/>
              </w:rPr>
              <w:t>,</w:t>
            </w:r>
            <w:r w:rsidR="00062A2F">
              <w:rPr>
                <w:rFonts w:ascii="Calibri" w:eastAsia="Times New Roman" w:hAnsi="Calibri" w:cs="Calibri"/>
                <w:color w:val="000000"/>
                <w:sz w:val="22"/>
                <w:szCs w:val="22"/>
              </w:rPr>
              <w:t>75</w:t>
            </w:r>
            <w:r w:rsidRPr="008E30D1">
              <w:rPr>
                <w:rFonts w:ascii="Calibri" w:eastAsia="Times New Roman" w:hAnsi="Calibri" w:cs="Calibri"/>
                <w:color w:val="000000"/>
                <w:sz w:val="22"/>
                <w:szCs w:val="22"/>
              </w:rPr>
              <w:t xml:space="preserve">0,000 </w:t>
            </w:r>
          </w:p>
        </w:tc>
        <w:tc>
          <w:tcPr>
            <w:tcW w:w="1440" w:type="dxa"/>
            <w:tcBorders>
              <w:top w:val="single" w:sz="4" w:space="0" w:color="000000"/>
              <w:left w:val="nil"/>
              <w:bottom w:val="nil"/>
              <w:right w:val="nil"/>
            </w:tcBorders>
            <w:shd w:val="clear" w:color="auto" w:fill="auto"/>
            <w:noWrap/>
            <w:vAlign w:val="bottom"/>
            <w:hideMark/>
          </w:tcPr>
          <w:p w14:paraId="1DD17CF2" w14:textId="77777777" w:rsidR="008E30D1" w:rsidRPr="008E30D1" w:rsidRDefault="008E30D1" w:rsidP="008E30D1">
            <w:pPr>
              <w:spacing w:before="0" w:after="0" w:line="240" w:lineRule="auto"/>
              <w:jc w:val="right"/>
              <w:rPr>
                <w:rFonts w:ascii="Calibri" w:eastAsia="Times New Roman" w:hAnsi="Calibri" w:cs="Calibri"/>
                <w:color w:val="000000"/>
                <w:sz w:val="22"/>
                <w:szCs w:val="22"/>
              </w:rPr>
            </w:pPr>
            <w:r w:rsidRPr="008E30D1">
              <w:rPr>
                <w:rFonts w:ascii="Calibri" w:eastAsia="Times New Roman" w:hAnsi="Calibri" w:cs="Calibri"/>
                <w:color w:val="000000"/>
                <w:sz w:val="22"/>
                <w:szCs w:val="22"/>
              </w:rPr>
              <w:t>0%</w:t>
            </w:r>
          </w:p>
        </w:tc>
        <w:tc>
          <w:tcPr>
            <w:tcW w:w="1682" w:type="dxa"/>
            <w:tcBorders>
              <w:top w:val="single" w:sz="4" w:space="0" w:color="000000"/>
              <w:left w:val="nil"/>
              <w:bottom w:val="nil"/>
              <w:right w:val="single" w:sz="4" w:space="0" w:color="000000"/>
            </w:tcBorders>
            <w:shd w:val="clear" w:color="auto" w:fill="auto"/>
            <w:noWrap/>
            <w:vAlign w:val="bottom"/>
            <w:hideMark/>
          </w:tcPr>
          <w:p w14:paraId="08B31E25" w14:textId="77777777" w:rsidR="008E30D1" w:rsidRPr="008E30D1" w:rsidRDefault="008E30D1" w:rsidP="008E30D1">
            <w:pPr>
              <w:spacing w:before="0" w:after="0" w:line="240" w:lineRule="auto"/>
              <w:rPr>
                <w:rFonts w:ascii="Calibri" w:eastAsia="Times New Roman" w:hAnsi="Calibri" w:cs="Calibri"/>
                <w:color w:val="000000"/>
                <w:sz w:val="22"/>
                <w:szCs w:val="22"/>
              </w:rPr>
            </w:pPr>
            <w:r w:rsidRPr="008E30D1">
              <w:rPr>
                <w:rFonts w:ascii="Calibri" w:eastAsia="Times New Roman" w:hAnsi="Calibri" w:cs="Calibri"/>
                <w:color w:val="000000"/>
                <w:sz w:val="22"/>
                <w:szCs w:val="22"/>
              </w:rPr>
              <w:t xml:space="preserve"> $                   -   </w:t>
            </w:r>
          </w:p>
        </w:tc>
      </w:tr>
      <w:tr w:rsidR="008E30D1" w:rsidRPr="008E30D1" w14:paraId="0EF3943B" w14:textId="77777777" w:rsidTr="00552890">
        <w:trPr>
          <w:trHeight w:val="300"/>
        </w:trPr>
        <w:tc>
          <w:tcPr>
            <w:tcW w:w="2328" w:type="dxa"/>
            <w:tcBorders>
              <w:top w:val="single" w:sz="4" w:space="0" w:color="000000"/>
              <w:left w:val="single" w:sz="4" w:space="0" w:color="000000"/>
              <w:bottom w:val="nil"/>
              <w:right w:val="nil"/>
            </w:tcBorders>
            <w:shd w:val="clear" w:color="auto" w:fill="auto"/>
            <w:noWrap/>
            <w:vAlign w:val="bottom"/>
            <w:hideMark/>
          </w:tcPr>
          <w:p w14:paraId="17B0B55C" w14:textId="77777777" w:rsidR="008E30D1" w:rsidRPr="008E30D1" w:rsidRDefault="008E30D1" w:rsidP="008E30D1">
            <w:pPr>
              <w:spacing w:before="0" w:after="0" w:line="240" w:lineRule="auto"/>
              <w:rPr>
                <w:rFonts w:ascii="Calibri" w:eastAsia="Times New Roman" w:hAnsi="Calibri" w:cs="Calibri"/>
                <w:color w:val="000000"/>
                <w:sz w:val="22"/>
                <w:szCs w:val="22"/>
              </w:rPr>
            </w:pPr>
            <w:r w:rsidRPr="008E30D1">
              <w:rPr>
                <w:rFonts w:ascii="Calibri" w:eastAsia="Times New Roman" w:hAnsi="Calibri" w:cs="Calibri"/>
                <w:color w:val="000000"/>
                <w:sz w:val="22"/>
                <w:szCs w:val="22"/>
              </w:rPr>
              <w:t>Professional/Technical</w:t>
            </w:r>
          </w:p>
        </w:tc>
        <w:tc>
          <w:tcPr>
            <w:tcW w:w="1997" w:type="dxa"/>
            <w:tcBorders>
              <w:top w:val="single" w:sz="4" w:space="0" w:color="000000"/>
              <w:left w:val="nil"/>
              <w:bottom w:val="nil"/>
              <w:right w:val="nil"/>
            </w:tcBorders>
            <w:shd w:val="clear" w:color="auto" w:fill="auto"/>
            <w:noWrap/>
            <w:vAlign w:val="bottom"/>
            <w:hideMark/>
          </w:tcPr>
          <w:p w14:paraId="712A44F0" w14:textId="77777777" w:rsidR="008E30D1" w:rsidRPr="008E30D1" w:rsidRDefault="008E30D1" w:rsidP="002B446C">
            <w:pPr>
              <w:spacing w:before="0" w:after="0" w:line="240" w:lineRule="auto"/>
              <w:rPr>
                <w:rFonts w:ascii="Calibri" w:eastAsia="Times New Roman" w:hAnsi="Calibri" w:cs="Calibri"/>
                <w:color w:val="000000"/>
                <w:sz w:val="22"/>
                <w:szCs w:val="22"/>
              </w:rPr>
            </w:pPr>
            <w:r w:rsidRPr="008E30D1">
              <w:rPr>
                <w:rFonts w:ascii="Calibri" w:eastAsia="Times New Roman" w:hAnsi="Calibri" w:cs="Calibri"/>
                <w:color w:val="000000"/>
                <w:sz w:val="22"/>
                <w:szCs w:val="22"/>
              </w:rPr>
              <w:t xml:space="preserve"> $            </w:t>
            </w:r>
            <w:r w:rsidR="007B5FA8">
              <w:rPr>
                <w:rFonts w:ascii="Calibri" w:eastAsia="Times New Roman" w:hAnsi="Calibri" w:cs="Calibri"/>
                <w:color w:val="000000"/>
                <w:sz w:val="22"/>
                <w:szCs w:val="22"/>
              </w:rPr>
              <w:t>3,0</w:t>
            </w:r>
            <w:r w:rsidR="002B446C">
              <w:rPr>
                <w:rFonts w:ascii="Calibri" w:eastAsia="Times New Roman" w:hAnsi="Calibri" w:cs="Calibri"/>
                <w:color w:val="000000"/>
                <w:sz w:val="22"/>
                <w:szCs w:val="22"/>
              </w:rPr>
              <w:t>00</w:t>
            </w:r>
            <w:r w:rsidRPr="008E30D1">
              <w:rPr>
                <w:rFonts w:ascii="Calibri" w:eastAsia="Times New Roman" w:hAnsi="Calibri" w:cs="Calibri"/>
                <w:color w:val="000000"/>
                <w:sz w:val="22"/>
                <w:szCs w:val="22"/>
              </w:rPr>
              <w:t xml:space="preserve">,000 </w:t>
            </w:r>
          </w:p>
        </w:tc>
        <w:tc>
          <w:tcPr>
            <w:tcW w:w="1440" w:type="dxa"/>
            <w:tcBorders>
              <w:top w:val="single" w:sz="4" w:space="0" w:color="000000"/>
              <w:left w:val="nil"/>
              <w:bottom w:val="single" w:sz="4" w:space="0" w:color="000000"/>
              <w:right w:val="nil"/>
            </w:tcBorders>
            <w:shd w:val="clear" w:color="auto" w:fill="auto"/>
            <w:noWrap/>
            <w:vAlign w:val="bottom"/>
            <w:hideMark/>
          </w:tcPr>
          <w:p w14:paraId="7DA3A611" w14:textId="77777777" w:rsidR="008E30D1" w:rsidRPr="008E30D1" w:rsidRDefault="008E30D1" w:rsidP="008E30D1">
            <w:pPr>
              <w:spacing w:before="0" w:after="0" w:line="240" w:lineRule="auto"/>
              <w:jc w:val="right"/>
              <w:rPr>
                <w:rFonts w:ascii="Calibri" w:eastAsia="Times New Roman" w:hAnsi="Calibri" w:cs="Calibri"/>
                <w:color w:val="000000"/>
                <w:sz w:val="22"/>
                <w:szCs w:val="22"/>
              </w:rPr>
            </w:pPr>
            <w:r w:rsidRPr="008E30D1">
              <w:rPr>
                <w:rFonts w:ascii="Calibri" w:eastAsia="Times New Roman" w:hAnsi="Calibri" w:cs="Calibri"/>
                <w:color w:val="000000"/>
                <w:sz w:val="22"/>
                <w:szCs w:val="22"/>
              </w:rPr>
              <w:t>3</w:t>
            </w:r>
            <w:r w:rsidR="00062A2F">
              <w:rPr>
                <w:rFonts w:ascii="Calibri" w:eastAsia="Times New Roman" w:hAnsi="Calibri" w:cs="Calibri"/>
                <w:color w:val="000000"/>
                <w:sz w:val="22"/>
                <w:szCs w:val="22"/>
              </w:rPr>
              <w:t>3</w:t>
            </w:r>
            <w:r w:rsidRPr="008E30D1">
              <w:rPr>
                <w:rFonts w:ascii="Calibri" w:eastAsia="Times New Roman" w:hAnsi="Calibri" w:cs="Calibri"/>
                <w:color w:val="000000"/>
                <w:sz w:val="22"/>
                <w:szCs w:val="22"/>
              </w:rPr>
              <w:t>%</w:t>
            </w:r>
          </w:p>
        </w:tc>
        <w:tc>
          <w:tcPr>
            <w:tcW w:w="1682" w:type="dxa"/>
            <w:tcBorders>
              <w:top w:val="single" w:sz="4" w:space="0" w:color="000000"/>
              <w:left w:val="nil"/>
              <w:bottom w:val="nil"/>
              <w:right w:val="single" w:sz="4" w:space="0" w:color="000000"/>
            </w:tcBorders>
            <w:shd w:val="clear" w:color="auto" w:fill="auto"/>
            <w:noWrap/>
            <w:vAlign w:val="bottom"/>
            <w:hideMark/>
          </w:tcPr>
          <w:p w14:paraId="0A26D630" w14:textId="77777777" w:rsidR="008E30D1" w:rsidRPr="008E30D1" w:rsidRDefault="008E30D1" w:rsidP="002B446C">
            <w:pPr>
              <w:spacing w:before="0" w:after="0" w:line="240" w:lineRule="auto"/>
              <w:rPr>
                <w:rFonts w:ascii="Calibri" w:eastAsia="Times New Roman" w:hAnsi="Calibri" w:cs="Calibri"/>
                <w:color w:val="000000"/>
                <w:sz w:val="22"/>
                <w:szCs w:val="22"/>
              </w:rPr>
            </w:pPr>
            <w:r w:rsidRPr="008E30D1">
              <w:rPr>
                <w:rFonts w:ascii="Calibri" w:eastAsia="Times New Roman" w:hAnsi="Calibri" w:cs="Calibri"/>
                <w:color w:val="000000"/>
                <w:sz w:val="22"/>
                <w:szCs w:val="22"/>
              </w:rPr>
              <w:t xml:space="preserve"> $        </w:t>
            </w:r>
            <w:r w:rsidR="007B5FA8">
              <w:rPr>
                <w:rFonts w:ascii="Calibri" w:eastAsia="Times New Roman" w:hAnsi="Calibri" w:cs="Calibri"/>
                <w:color w:val="000000"/>
                <w:sz w:val="22"/>
                <w:szCs w:val="22"/>
              </w:rPr>
              <w:t>1,0</w:t>
            </w:r>
            <w:r w:rsidR="00062A2F">
              <w:rPr>
                <w:rFonts w:ascii="Calibri" w:eastAsia="Times New Roman" w:hAnsi="Calibri" w:cs="Calibri"/>
                <w:color w:val="000000"/>
                <w:sz w:val="22"/>
                <w:szCs w:val="22"/>
              </w:rPr>
              <w:t>00,</w:t>
            </w:r>
            <w:r w:rsidRPr="008E30D1">
              <w:rPr>
                <w:rFonts w:ascii="Calibri" w:eastAsia="Times New Roman" w:hAnsi="Calibri" w:cs="Calibri"/>
                <w:color w:val="000000"/>
                <w:sz w:val="22"/>
                <w:szCs w:val="22"/>
              </w:rPr>
              <w:t xml:space="preserve">000 </w:t>
            </w:r>
          </w:p>
        </w:tc>
      </w:tr>
      <w:tr w:rsidR="008E30D1" w:rsidRPr="008E30D1" w14:paraId="574E65F9" w14:textId="77777777" w:rsidTr="00552890">
        <w:trPr>
          <w:trHeight w:val="300"/>
        </w:trPr>
        <w:tc>
          <w:tcPr>
            <w:tcW w:w="2328" w:type="dxa"/>
            <w:tcBorders>
              <w:top w:val="single" w:sz="4" w:space="0" w:color="000000"/>
              <w:left w:val="single" w:sz="4" w:space="0" w:color="000000"/>
              <w:bottom w:val="single" w:sz="4" w:space="0" w:color="000000"/>
              <w:right w:val="nil"/>
            </w:tcBorders>
            <w:shd w:val="clear" w:color="auto" w:fill="auto"/>
            <w:noWrap/>
            <w:vAlign w:val="bottom"/>
            <w:hideMark/>
          </w:tcPr>
          <w:p w14:paraId="318A5607" w14:textId="77777777" w:rsidR="008E30D1" w:rsidRPr="008E30D1" w:rsidRDefault="008E30D1" w:rsidP="008E30D1">
            <w:pPr>
              <w:spacing w:before="0" w:after="0" w:line="240" w:lineRule="auto"/>
              <w:rPr>
                <w:rFonts w:ascii="Calibri" w:eastAsia="Times New Roman" w:hAnsi="Calibri" w:cs="Calibri"/>
                <w:color w:val="000000"/>
                <w:sz w:val="22"/>
                <w:szCs w:val="22"/>
              </w:rPr>
            </w:pPr>
            <w:r w:rsidRPr="008E30D1">
              <w:rPr>
                <w:rFonts w:ascii="Calibri" w:eastAsia="Times New Roman" w:hAnsi="Calibri" w:cs="Calibri"/>
                <w:color w:val="000000"/>
                <w:sz w:val="22"/>
                <w:szCs w:val="22"/>
              </w:rPr>
              <w:t>Total</w:t>
            </w:r>
          </w:p>
        </w:tc>
        <w:tc>
          <w:tcPr>
            <w:tcW w:w="1997" w:type="dxa"/>
            <w:tcBorders>
              <w:top w:val="single" w:sz="4" w:space="0" w:color="000000"/>
              <w:left w:val="nil"/>
              <w:bottom w:val="single" w:sz="4" w:space="0" w:color="000000"/>
              <w:right w:val="nil"/>
            </w:tcBorders>
            <w:shd w:val="clear" w:color="auto" w:fill="auto"/>
            <w:noWrap/>
            <w:vAlign w:val="bottom"/>
            <w:hideMark/>
          </w:tcPr>
          <w:p w14:paraId="23132608" w14:textId="77777777" w:rsidR="008E30D1" w:rsidRPr="008E30D1" w:rsidRDefault="002B446C" w:rsidP="008E30D1">
            <w:pPr>
              <w:spacing w:before="0"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 xml:space="preserve"> $            </w:t>
            </w:r>
            <w:r w:rsidR="007B5FA8">
              <w:rPr>
                <w:rFonts w:ascii="Calibri" w:eastAsia="Times New Roman" w:hAnsi="Calibri" w:cs="Calibri"/>
                <w:color w:val="000000"/>
                <w:sz w:val="22"/>
                <w:szCs w:val="22"/>
              </w:rPr>
              <w:t>8,650</w:t>
            </w:r>
            <w:r w:rsidR="008E30D1" w:rsidRPr="008E30D1">
              <w:rPr>
                <w:rFonts w:ascii="Calibri" w:eastAsia="Times New Roman" w:hAnsi="Calibri" w:cs="Calibri"/>
                <w:color w:val="000000"/>
                <w:sz w:val="22"/>
                <w:szCs w:val="22"/>
              </w:rPr>
              <w:t xml:space="preserve">,000 </w:t>
            </w:r>
          </w:p>
        </w:tc>
        <w:tc>
          <w:tcPr>
            <w:tcW w:w="1440" w:type="dxa"/>
            <w:tcBorders>
              <w:top w:val="single" w:sz="4" w:space="0" w:color="000000"/>
              <w:left w:val="nil"/>
              <w:bottom w:val="single" w:sz="4" w:space="0" w:color="000000"/>
              <w:right w:val="nil"/>
            </w:tcBorders>
            <w:shd w:val="clear" w:color="auto" w:fill="BFBFBF" w:themeFill="background1" w:themeFillShade="BF"/>
            <w:noWrap/>
            <w:vAlign w:val="bottom"/>
            <w:hideMark/>
          </w:tcPr>
          <w:p w14:paraId="30A6D26E" w14:textId="77777777" w:rsidR="008E30D1" w:rsidRPr="008E30D1" w:rsidRDefault="007B5FA8" w:rsidP="002B446C">
            <w:pPr>
              <w:spacing w:before="0" w:after="0" w:line="240" w:lineRule="auto"/>
              <w:jc w:val="right"/>
              <w:rPr>
                <w:rFonts w:ascii="Calibri" w:eastAsia="Times New Roman" w:hAnsi="Calibri" w:cs="Calibri"/>
                <w:b/>
                <w:color w:val="000000"/>
                <w:sz w:val="22"/>
                <w:szCs w:val="22"/>
              </w:rPr>
            </w:pPr>
            <w:r>
              <w:rPr>
                <w:rFonts w:ascii="Calibri" w:eastAsia="Times New Roman" w:hAnsi="Calibri" w:cs="Calibri"/>
                <w:b/>
                <w:color w:val="000000"/>
                <w:sz w:val="22"/>
                <w:szCs w:val="22"/>
              </w:rPr>
              <w:t>11</w:t>
            </w:r>
            <w:r w:rsidR="00552890" w:rsidRPr="00552890">
              <w:rPr>
                <w:rFonts w:ascii="Calibri" w:eastAsia="Times New Roman" w:hAnsi="Calibri" w:cs="Calibri"/>
                <w:b/>
                <w:color w:val="000000"/>
                <w:sz w:val="22"/>
                <w:szCs w:val="22"/>
              </w:rPr>
              <w:t>.</w:t>
            </w:r>
            <w:r>
              <w:rPr>
                <w:rFonts w:ascii="Calibri" w:eastAsia="Times New Roman" w:hAnsi="Calibri" w:cs="Calibri"/>
                <w:b/>
                <w:color w:val="000000"/>
                <w:sz w:val="22"/>
                <w:szCs w:val="22"/>
              </w:rPr>
              <w:t>5</w:t>
            </w:r>
            <w:r w:rsidR="00552890" w:rsidRPr="00552890">
              <w:rPr>
                <w:rFonts w:ascii="Calibri" w:eastAsia="Times New Roman" w:hAnsi="Calibri" w:cs="Calibri"/>
                <w:b/>
                <w:color w:val="000000"/>
                <w:sz w:val="22"/>
                <w:szCs w:val="22"/>
              </w:rPr>
              <w:t>%</w:t>
            </w:r>
          </w:p>
        </w:tc>
        <w:tc>
          <w:tcPr>
            <w:tcW w:w="1682" w:type="dxa"/>
            <w:tcBorders>
              <w:top w:val="single" w:sz="4" w:space="0" w:color="000000"/>
              <w:left w:val="nil"/>
              <w:bottom w:val="single" w:sz="4" w:space="0" w:color="000000"/>
              <w:right w:val="single" w:sz="4" w:space="0" w:color="000000"/>
            </w:tcBorders>
            <w:shd w:val="clear" w:color="auto" w:fill="auto"/>
            <w:noWrap/>
            <w:vAlign w:val="bottom"/>
            <w:hideMark/>
          </w:tcPr>
          <w:p w14:paraId="0AE3916B" w14:textId="77777777" w:rsidR="008E30D1" w:rsidRPr="008E30D1" w:rsidRDefault="008E30D1" w:rsidP="002B446C">
            <w:pPr>
              <w:spacing w:before="0" w:after="0" w:line="240" w:lineRule="auto"/>
              <w:rPr>
                <w:rFonts w:ascii="Calibri" w:eastAsia="Times New Roman" w:hAnsi="Calibri" w:cs="Calibri"/>
                <w:color w:val="000000"/>
                <w:sz w:val="22"/>
                <w:szCs w:val="22"/>
              </w:rPr>
            </w:pPr>
            <w:r w:rsidRPr="008E30D1">
              <w:rPr>
                <w:rFonts w:ascii="Calibri" w:eastAsia="Times New Roman" w:hAnsi="Calibri" w:cs="Calibri"/>
                <w:color w:val="000000"/>
                <w:sz w:val="22"/>
                <w:szCs w:val="22"/>
              </w:rPr>
              <w:t xml:space="preserve"> $        </w:t>
            </w:r>
            <w:r w:rsidR="007B5FA8">
              <w:rPr>
                <w:rFonts w:ascii="Calibri" w:eastAsia="Times New Roman" w:hAnsi="Calibri" w:cs="Calibri"/>
                <w:color w:val="000000"/>
                <w:sz w:val="22"/>
                <w:szCs w:val="22"/>
              </w:rPr>
              <w:t>1,0</w:t>
            </w:r>
            <w:r w:rsidR="00062A2F">
              <w:rPr>
                <w:rFonts w:ascii="Calibri" w:eastAsia="Times New Roman" w:hAnsi="Calibri" w:cs="Calibri"/>
                <w:color w:val="000000"/>
                <w:sz w:val="22"/>
                <w:szCs w:val="22"/>
              </w:rPr>
              <w:t>00,</w:t>
            </w:r>
            <w:r w:rsidRPr="008E30D1">
              <w:rPr>
                <w:rFonts w:ascii="Calibri" w:eastAsia="Times New Roman" w:hAnsi="Calibri" w:cs="Calibri"/>
                <w:color w:val="000000"/>
                <w:sz w:val="22"/>
                <w:szCs w:val="22"/>
              </w:rPr>
              <w:t xml:space="preserve">000 </w:t>
            </w:r>
          </w:p>
        </w:tc>
      </w:tr>
    </w:tbl>
    <w:p w14:paraId="75AAF2D2" w14:textId="77777777" w:rsidR="008E30D1" w:rsidRDefault="008E30D1" w:rsidP="00BB7D8D">
      <w:pPr>
        <w:pStyle w:val="NoSpacing"/>
      </w:pPr>
    </w:p>
    <w:p w14:paraId="3A325BAC" w14:textId="77777777" w:rsidR="00552890" w:rsidRDefault="00552890" w:rsidP="00FC5927">
      <w:pPr>
        <w:pStyle w:val="NoSpacing"/>
      </w:pPr>
      <w:r>
        <w:t xml:space="preserve">Given the assumptions and data listed above, then, the total proportion of contract awards that would go to DBE firms is expected to be around </w:t>
      </w:r>
      <w:r w:rsidR="007B5FA8">
        <w:t>11</w:t>
      </w:r>
      <w:r>
        <w:t>.</w:t>
      </w:r>
      <w:r w:rsidR="007B5FA8">
        <w:t>5</w:t>
      </w:r>
      <w:r>
        <w:t xml:space="preserve">%.  This figure constitutes the DBE “base”.  </w:t>
      </w:r>
    </w:p>
    <w:p w14:paraId="38F3B937" w14:textId="77777777" w:rsidR="00552890" w:rsidRDefault="00552890" w:rsidP="00552890">
      <w:pPr>
        <w:pStyle w:val="Heading3"/>
      </w:pPr>
      <w:r>
        <w:t>DBE Target setting</w:t>
      </w:r>
    </w:p>
    <w:p w14:paraId="791543C0" w14:textId="77777777" w:rsidR="00552890" w:rsidRDefault="00552890" w:rsidP="00FC5927">
      <w:pPr>
        <w:pStyle w:val="NoSpacing"/>
      </w:pPr>
    </w:p>
    <w:p w14:paraId="3FD5159C" w14:textId="77777777" w:rsidR="00552890" w:rsidRDefault="00552890" w:rsidP="00FC5927">
      <w:pPr>
        <w:pStyle w:val="NoSpacing"/>
      </w:pPr>
      <w:r>
        <w:t xml:space="preserve">It is evident from examining Table 2 that DBE participation in projected CIRTA contracting is severely hampered by the complete (known) lack of DBE availability in three categories (vanpools, vouchers, and connectors).  The entry of a single DBE into either the vanpools or connectors category would significantly alter the </w:t>
      </w:r>
      <w:r w:rsidR="005D3C6A">
        <w:t>calculation</w:t>
      </w:r>
      <w:r>
        <w:t xml:space="preserve"> of the DBE base.  </w:t>
      </w:r>
      <w:r w:rsidR="005D3C6A">
        <w:t xml:space="preserve">CIRTA will continue to encourage firm (DBE and otherwise) formation in these categories, but it is impossible to know whether these efforts will bear fruit.  </w:t>
      </w:r>
    </w:p>
    <w:p w14:paraId="6CAADB0F" w14:textId="77777777" w:rsidR="005D3C6A" w:rsidRDefault="005D3C6A" w:rsidP="00FC5927">
      <w:pPr>
        <w:pStyle w:val="NoSpacing"/>
      </w:pPr>
    </w:p>
    <w:p w14:paraId="71A2C309" w14:textId="77777777" w:rsidR="005D3C6A" w:rsidRDefault="005D3C6A" w:rsidP="00FC5927">
      <w:pPr>
        <w:pStyle w:val="NoSpacing"/>
      </w:pPr>
      <w:r>
        <w:t>Since the burden of meeting a DBE target falls entirely upon the fourth category (professional/technical), it should be noted that even if all the awards in this category went to DBEs (which is an unrealistic assumption), the overall DBE participation would</w:t>
      </w:r>
      <w:r w:rsidR="007B5FA8">
        <w:t xml:space="preserve"> only</w:t>
      </w:r>
      <w:r>
        <w:t xml:space="preserve"> be </w:t>
      </w:r>
      <w:r w:rsidR="007B5FA8">
        <w:t>35</w:t>
      </w:r>
      <w:r>
        <w:t>%.  An aggressive yet reasonable DBE target for this category is 4</w:t>
      </w:r>
      <w:r w:rsidR="00014104">
        <w:t>5</w:t>
      </w:r>
      <w:r>
        <w:t xml:space="preserve">%, resulting in an </w:t>
      </w:r>
      <w:r w:rsidRPr="00F46ED2">
        <w:rPr>
          <w:b/>
          <w:i/>
          <w:u w:val="single"/>
        </w:rPr>
        <w:t xml:space="preserve">overall DBE target of </w:t>
      </w:r>
      <w:r w:rsidR="007B5FA8">
        <w:rPr>
          <w:b/>
          <w:i/>
          <w:u w:val="single"/>
        </w:rPr>
        <w:t>15</w:t>
      </w:r>
      <w:r w:rsidR="00014104">
        <w:rPr>
          <w:b/>
          <w:i/>
          <w:u w:val="single"/>
        </w:rPr>
        <w:t>.</w:t>
      </w:r>
      <w:r w:rsidR="007B5FA8">
        <w:rPr>
          <w:b/>
          <w:i/>
          <w:u w:val="single"/>
        </w:rPr>
        <w:t>6</w:t>
      </w:r>
      <w:r w:rsidRPr="00F46ED2">
        <w:rPr>
          <w:b/>
          <w:i/>
          <w:u w:val="single"/>
        </w:rPr>
        <w:t>%.</w:t>
      </w:r>
      <w:r>
        <w:t xml:space="preserve">  </w:t>
      </w:r>
    </w:p>
    <w:p w14:paraId="0C212264" w14:textId="77777777" w:rsidR="00552890" w:rsidRPr="00FC5927" w:rsidRDefault="00552890" w:rsidP="00FC5927">
      <w:pPr>
        <w:pStyle w:val="NoSpacing"/>
      </w:pPr>
    </w:p>
    <w:sectPr w:rsidR="00552890" w:rsidRPr="00FC592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411CE" w14:textId="77777777" w:rsidR="00843968" w:rsidRDefault="00843968" w:rsidP="00F44DFF">
      <w:pPr>
        <w:spacing w:before="0" w:after="0" w:line="240" w:lineRule="auto"/>
      </w:pPr>
      <w:r>
        <w:separator/>
      </w:r>
    </w:p>
  </w:endnote>
  <w:endnote w:type="continuationSeparator" w:id="0">
    <w:p w14:paraId="20E3F4B2" w14:textId="77777777" w:rsidR="00843968" w:rsidRDefault="00843968" w:rsidP="00F44DFF">
      <w:pPr>
        <w:spacing w:before="0" w:after="0" w:line="240" w:lineRule="auto"/>
      </w:pPr>
      <w:r>
        <w:continuationSeparator/>
      </w:r>
    </w:p>
  </w:endnote>
  <w:endnote w:type="continuationNotice" w:id="1">
    <w:p w14:paraId="7C6257DD" w14:textId="77777777" w:rsidR="00843968" w:rsidRDefault="0084396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897824"/>
      <w:docPartObj>
        <w:docPartGallery w:val="Page Numbers (Bottom of Page)"/>
        <w:docPartUnique/>
      </w:docPartObj>
    </w:sdtPr>
    <w:sdtContent>
      <w:p w14:paraId="5C437288" w14:textId="77777777" w:rsidR="00A368D0" w:rsidRDefault="00A368D0">
        <w:pPr>
          <w:pStyle w:val="Footer"/>
          <w:jc w:val="right"/>
        </w:pPr>
        <w:r>
          <w:t xml:space="preserve">Page | </w:t>
        </w:r>
        <w:r>
          <w:fldChar w:fldCharType="begin"/>
        </w:r>
        <w:r>
          <w:instrText xml:space="preserve"> PAGE   \* MERGEFORMAT </w:instrText>
        </w:r>
        <w:r>
          <w:fldChar w:fldCharType="separate"/>
        </w:r>
        <w:r w:rsidR="00B145DE">
          <w:rPr>
            <w:noProof/>
          </w:rPr>
          <w:t>1</w:t>
        </w:r>
        <w:r>
          <w:rPr>
            <w:noProof/>
          </w:rPr>
          <w:fldChar w:fldCharType="end"/>
        </w:r>
        <w:r>
          <w:t xml:space="preserve"> </w:t>
        </w:r>
      </w:p>
    </w:sdtContent>
  </w:sdt>
  <w:p w14:paraId="228DAC97" w14:textId="77777777" w:rsidR="00A368D0" w:rsidRDefault="00A36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47E8C" w14:textId="77777777" w:rsidR="00843968" w:rsidRDefault="00843968" w:rsidP="00F44DFF">
      <w:pPr>
        <w:spacing w:before="0" w:after="0" w:line="240" w:lineRule="auto"/>
      </w:pPr>
      <w:r>
        <w:separator/>
      </w:r>
    </w:p>
  </w:footnote>
  <w:footnote w:type="continuationSeparator" w:id="0">
    <w:p w14:paraId="0111F0D4" w14:textId="77777777" w:rsidR="00843968" w:rsidRDefault="00843968" w:rsidP="00F44DFF">
      <w:pPr>
        <w:spacing w:before="0" w:after="0" w:line="240" w:lineRule="auto"/>
      </w:pPr>
      <w:r>
        <w:continuationSeparator/>
      </w:r>
    </w:p>
  </w:footnote>
  <w:footnote w:type="continuationNotice" w:id="1">
    <w:p w14:paraId="3790D024" w14:textId="77777777" w:rsidR="00843968" w:rsidRDefault="00843968">
      <w:pPr>
        <w:spacing w:before="0" w:after="0" w:line="240" w:lineRule="auto"/>
      </w:pPr>
    </w:p>
  </w:footnote>
  <w:footnote w:id="2">
    <w:p w14:paraId="162E61B4" w14:textId="722892D0" w:rsidR="00A368D0" w:rsidRDefault="00A368D0">
      <w:pPr>
        <w:pStyle w:val="FootnoteText"/>
      </w:pPr>
      <w:r>
        <w:rPr>
          <w:rStyle w:val="FootnoteReference"/>
        </w:rPr>
        <w:footnoteRef/>
      </w:r>
      <w:r>
        <w:t xml:space="preserve"> DBE terminology varies across </w:t>
      </w:r>
      <w:r w:rsidR="00CD4208">
        <w:t>jurisdictions and</w:t>
      </w:r>
      <w:r>
        <w:t xml:space="preserve"> can therefore be confusing.  The federal government uses “DBE” as an umbrella term that incorporates other classifications, including minority business enterprise (MBE), woman-owned business enterprise (WBE), veteran-owned business enterprise (VBE), and others.  This document will use “DBE” as a catch-all for these other categories, and any targets are set for DBEs as a whole; sub-targets (for MBEs, WBEs, etc.) will </w:t>
      </w:r>
      <w:r w:rsidRPr="0098749E">
        <w:rPr>
          <w:u w:val="single"/>
        </w:rPr>
        <w:t>not</w:t>
      </w:r>
      <w:r>
        <w:t xml:space="preserve"> be made.  </w:t>
      </w:r>
    </w:p>
  </w:footnote>
  <w:footnote w:id="3">
    <w:p w14:paraId="0C67024C" w14:textId="77777777" w:rsidR="00A368D0" w:rsidRDefault="00A368D0">
      <w:pPr>
        <w:pStyle w:val="FootnoteText"/>
      </w:pPr>
      <w:r>
        <w:rPr>
          <w:rStyle w:val="FootnoteReference"/>
        </w:rPr>
        <w:footnoteRef/>
      </w:r>
      <w:r>
        <w:t xml:space="preserve"> Note that this is not a guaranteed contract amount, but rather an estimate (and projection) of total revenues to the vendor given current participation levels in the program.  </w:t>
      </w:r>
    </w:p>
  </w:footnote>
  <w:footnote w:id="4">
    <w:p w14:paraId="66CFD128" w14:textId="77777777" w:rsidR="00A368D0" w:rsidRDefault="00A368D0">
      <w:pPr>
        <w:pStyle w:val="FootnoteText"/>
      </w:pPr>
      <w:r>
        <w:rPr>
          <w:rStyle w:val="FootnoteReference"/>
        </w:rPr>
        <w:footnoteRef/>
      </w:r>
      <w:r>
        <w:t xml:space="preserve"> INDOT maintains its own firm and DBE registration process separate from IDOA.  For purposes of this analysis, it should be noted that INDOT breaks out construction vendors into many different categories, and consolidates many other categories of interest; several of the categories in Table 1 are not listed therein.  Accordingly, CIRTA has determined that the IDOA firm listing is more applicable to its needs than the INDOT firm listing.  </w:t>
      </w:r>
    </w:p>
  </w:footnote>
  <w:footnote w:id="5">
    <w:p w14:paraId="4D97EA89" w14:textId="77777777" w:rsidR="00A368D0" w:rsidRDefault="00A368D0">
      <w:pPr>
        <w:pStyle w:val="FootnoteText"/>
      </w:pPr>
      <w:r>
        <w:rPr>
          <w:rStyle w:val="FootnoteReference"/>
        </w:rPr>
        <w:footnoteRef/>
      </w:r>
      <w:r>
        <w:t xml:space="preserve"> There are several more companies that provide specialized transportation services, but this was judged to be a substantially different type of service, and will not be considered further.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D95"/>
    <w:multiLevelType w:val="hybridMultilevel"/>
    <w:tmpl w:val="71E4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72E54"/>
    <w:multiLevelType w:val="hybridMultilevel"/>
    <w:tmpl w:val="0D888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333653"/>
    <w:multiLevelType w:val="hybridMultilevel"/>
    <w:tmpl w:val="A580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F1E33"/>
    <w:multiLevelType w:val="hybridMultilevel"/>
    <w:tmpl w:val="7A163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2C306F"/>
    <w:multiLevelType w:val="hybridMultilevel"/>
    <w:tmpl w:val="8384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410E4"/>
    <w:multiLevelType w:val="hybridMultilevel"/>
    <w:tmpl w:val="5C62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E4745"/>
    <w:multiLevelType w:val="hybridMultilevel"/>
    <w:tmpl w:val="C720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71E3E"/>
    <w:multiLevelType w:val="hybridMultilevel"/>
    <w:tmpl w:val="EE48E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D1E7F"/>
    <w:multiLevelType w:val="hybridMultilevel"/>
    <w:tmpl w:val="4274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438AD"/>
    <w:multiLevelType w:val="hybridMultilevel"/>
    <w:tmpl w:val="0874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55374"/>
    <w:multiLevelType w:val="hybridMultilevel"/>
    <w:tmpl w:val="B9C8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95BE0"/>
    <w:multiLevelType w:val="hybridMultilevel"/>
    <w:tmpl w:val="D388A6E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2" w15:restartNumberingAfterBreak="0">
    <w:nsid w:val="2A6A63B0"/>
    <w:multiLevelType w:val="hybridMultilevel"/>
    <w:tmpl w:val="E69A5C74"/>
    <w:lvl w:ilvl="0" w:tplc="04090001">
      <w:start w:val="1"/>
      <w:numFmt w:val="bullet"/>
      <w:lvlText w:val=""/>
      <w:lvlJc w:val="left"/>
      <w:pPr>
        <w:ind w:left="720" w:hanging="360"/>
      </w:pPr>
      <w:rPr>
        <w:rFonts w:ascii="Symbol" w:hAnsi="Symbol" w:hint="default"/>
      </w:rPr>
    </w:lvl>
    <w:lvl w:ilvl="1" w:tplc="30E88282">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1356D"/>
    <w:multiLevelType w:val="hybridMultilevel"/>
    <w:tmpl w:val="3A9AB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B7B71"/>
    <w:multiLevelType w:val="hybridMultilevel"/>
    <w:tmpl w:val="CE90E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ED678F"/>
    <w:multiLevelType w:val="hybridMultilevel"/>
    <w:tmpl w:val="550C3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F7119"/>
    <w:multiLevelType w:val="hybridMultilevel"/>
    <w:tmpl w:val="04A69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4038D2"/>
    <w:multiLevelType w:val="hybridMultilevel"/>
    <w:tmpl w:val="1D92D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0B0E02"/>
    <w:multiLevelType w:val="hybridMultilevel"/>
    <w:tmpl w:val="236E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C7C5A"/>
    <w:multiLevelType w:val="hybridMultilevel"/>
    <w:tmpl w:val="9C38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AD21E9"/>
    <w:multiLevelType w:val="hybridMultilevel"/>
    <w:tmpl w:val="2F145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106C86"/>
    <w:multiLevelType w:val="hybridMultilevel"/>
    <w:tmpl w:val="325A15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17F5D01"/>
    <w:multiLevelType w:val="hybridMultilevel"/>
    <w:tmpl w:val="8A568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672BC1"/>
    <w:multiLevelType w:val="hybridMultilevel"/>
    <w:tmpl w:val="80C2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A52D3E"/>
    <w:multiLevelType w:val="hybridMultilevel"/>
    <w:tmpl w:val="27BE2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201E3"/>
    <w:multiLevelType w:val="hybridMultilevel"/>
    <w:tmpl w:val="434C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AB4292"/>
    <w:multiLevelType w:val="hybridMultilevel"/>
    <w:tmpl w:val="4A5E6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2B56AF"/>
    <w:multiLevelType w:val="hybridMultilevel"/>
    <w:tmpl w:val="81C8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2C0380"/>
    <w:multiLevelType w:val="hybridMultilevel"/>
    <w:tmpl w:val="CBE0F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100720"/>
    <w:multiLevelType w:val="hybridMultilevel"/>
    <w:tmpl w:val="161C6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03758D"/>
    <w:multiLevelType w:val="hybridMultilevel"/>
    <w:tmpl w:val="F018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4757AD"/>
    <w:multiLevelType w:val="hybridMultilevel"/>
    <w:tmpl w:val="7E724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3B519A"/>
    <w:multiLevelType w:val="multilevel"/>
    <w:tmpl w:val="9DD0A3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1603960"/>
    <w:multiLevelType w:val="hybridMultilevel"/>
    <w:tmpl w:val="C3148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F6630E"/>
    <w:multiLevelType w:val="hybridMultilevel"/>
    <w:tmpl w:val="D610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BB076F"/>
    <w:multiLevelType w:val="hybridMultilevel"/>
    <w:tmpl w:val="BFBABDB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6" w15:restartNumberingAfterBreak="0">
    <w:nsid w:val="75A80E07"/>
    <w:multiLevelType w:val="hybridMultilevel"/>
    <w:tmpl w:val="8F3A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1D4F7A"/>
    <w:multiLevelType w:val="hybridMultilevel"/>
    <w:tmpl w:val="9D3C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C24A9C"/>
    <w:multiLevelType w:val="hybridMultilevel"/>
    <w:tmpl w:val="19145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A12B36"/>
    <w:multiLevelType w:val="hybridMultilevel"/>
    <w:tmpl w:val="DA6E26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45415034">
    <w:abstractNumId w:val="24"/>
  </w:num>
  <w:num w:numId="2" w16cid:durableId="2144346370">
    <w:abstractNumId w:val="29"/>
  </w:num>
  <w:num w:numId="3" w16cid:durableId="164631161">
    <w:abstractNumId w:val="13"/>
  </w:num>
  <w:num w:numId="4" w16cid:durableId="960769830">
    <w:abstractNumId w:val="1"/>
  </w:num>
  <w:num w:numId="5" w16cid:durableId="1396002055">
    <w:abstractNumId w:val="21"/>
  </w:num>
  <w:num w:numId="6" w16cid:durableId="1623801653">
    <w:abstractNumId w:val="6"/>
  </w:num>
  <w:num w:numId="7" w16cid:durableId="1463812262">
    <w:abstractNumId w:val="27"/>
  </w:num>
  <w:num w:numId="8" w16cid:durableId="1368482605">
    <w:abstractNumId w:val="12"/>
  </w:num>
  <w:num w:numId="9" w16cid:durableId="320695222">
    <w:abstractNumId w:val="26"/>
  </w:num>
  <w:num w:numId="10" w16cid:durableId="1197546583">
    <w:abstractNumId w:val="2"/>
  </w:num>
  <w:num w:numId="11" w16cid:durableId="47731013">
    <w:abstractNumId w:val="18"/>
  </w:num>
  <w:num w:numId="12" w16cid:durableId="422726682">
    <w:abstractNumId w:val="17"/>
  </w:num>
  <w:num w:numId="13" w16cid:durableId="1847749555">
    <w:abstractNumId w:val="39"/>
  </w:num>
  <w:num w:numId="14" w16cid:durableId="298460740">
    <w:abstractNumId w:val="14"/>
  </w:num>
  <w:num w:numId="15" w16cid:durableId="340737290">
    <w:abstractNumId w:val="8"/>
  </w:num>
  <w:num w:numId="16" w16cid:durableId="1840191351">
    <w:abstractNumId w:val="25"/>
  </w:num>
  <w:num w:numId="17" w16cid:durableId="1114715196">
    <w:abstractNumId w:val="38"/>
  </w:num>
  <w:num w:numId="18" w16cid:durableId="1253470321">
    <w:abstractNumId w:val="3"/>
  </w:num>
  <w:num w:numId="19" w16cid:durableId="1529636493">
    <w:abstractNumId w:val="20"/>
  </w:num>
  <w:num w:numId="20" w16cid:durableId="731545401">
    <w:abstractNumId w:val="16"/>
  </w:num>
  <w:num w:numId="21" w16cid:durableId="1452046038">
    <w:abstractNumId w:val="33"/>
  </w:num>
  <w:num w:numId="22" w16cid:durableId="1542747746">
    <w:abstractNumId w:val="30"/>
  </w:num>
  <w:num w:numId="23" w16cid:durableId="438306285">
    <w:abstractNumId w:val="34"/>
  </w:num>
  <w:num w:numId="24" w16cid:durableId="59837521">
    <w:abstractNumId w:val="0"/>
  </w:num>
  <w:num w:numId="25" w16cid:durableId="2090349911">
    <w:abstractNumId w:val="35"/>
  </w:num>
  <w:num w:numId="26" w16cid:durableId="470365935">
    <w:abstractNumId w:val="5"/>
  </w:num>
  <w:num w:numId="27" w16cid:durableId="2132631161">
    <w:abstractNumId w:val="37"/>
  </w:num>
  <w:num w:numId="28" w16cid:durableId="481390365">
    <w:abstractNumId w:val="15"/>
  </w:num>
  <w:num w:numId="29" w16cid:durableId="240213581">
    <w:abstractNumId w:val="22"/>
  </w:num>
  <w:num w:numId="30" w16cid:durableId="1387950078">
    <w:abstractNumId w:val="19"/>
  </w:num>
  <w:num w:numId="31" w16cid:durableId="85617944">
    <w:abstractNumId w:val="4"/>
  </w:num>
  <w:num w:numId="32" w16cid:durableId="2038434106">
    <w:abstractNumId w:val="28"/>
  </w:num>
  <w:num w:numId="33" w16cid:durableId="1126969125">
    <w:abstractNumId w:val="23"/>
  </w:num>
  <w:num w:numId="34" w16cid:durableId="1095056450">
    <w:abstractNumId w:val="36"/>
  </w:num>
  <w:num w:numId="35" w16cid:durableId="1227183692">
    <w:abstractNumId w:val="7"/>
  </w:num>
  <w:num w:numId="36" w16cid:durableId="1835074517">
    <w:abstractNumId w:val="32"/>
  </w:num>
  <w:num w:numId="37" w16cid:durableId="9787999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144285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4424440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80399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744408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10999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827957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0659328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451007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0490599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92888280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1948879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82998068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909480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46363090">
    <w:abstractNumId w:val="9"/>
  </w:num>
  <w:num w:numId="52" w16cid:durableId="397442133">
    <w:abstractNumId w:val="11"/>
  </w:num>
  <w:num w:numId="53" w16cid:durableId="1090347422">
    <w:abstractNumId w:val="10"/>
  </w:num>
  <w:num w:numId="54" w16cid:durableId="386414928">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88E"/>
    <w:rsid w:val="00002621"/>
    <w:rsid w:val="00003868"/>
    <w:rsid w:val="00003B15"/>
    <w:rsid w:val="0000751A"/>
    <w:rsid w:val="00007F39"/>
    <w:rsid w:val="00010041"/>
    <w:rsid w:val="00014104"/>
    <w:rsid w:val="000142F9"/>
    <w:rsid w:val="00016606"/>
    <w:rsid w:val="00021092"/>
    <w:rsid w:val="00022BFD"/>
    <w:rsid w:val="00023FD8"/>
    <w:rsid w:val="0002440D"/>
    <w:rsid w:val="00025091"/>
    <w:rsid w:val="00027D7A"/>
    <w:rsid w:val="00031AAE"/>
    <w:rsid w:val="000344E0"/>
    <w:rsid w:val="00037BB6"/>
    <w:rsid w:val="00042CED"/>
    <w:rsid w:val="00045522"/>
    <w:rsid w:val="00047242"/>
    <w:rsid w:val="000472AD"/>
    <w:rsid w:val="00047CE5"/>
    <w:rsid w:val="00051091"/>
    <w:rsid w:val="0005652C"/>
    <w:rsid w:val="00057EF3"/>
    <w:rsid w:val="00060035"/>
    <w:rsid w:val="0006008F"/>
    <w:rsid w:val="0006022A"/>
    <w:rsid w:val="00062A2F"/>
    <w:rsid w:val="00063918"/>
    <w:rsid w:val="000669F4"/>
    <w:rsid w:val="00071E5A"/>
    <w:rsid w:val="0008026D"/>
    <w:rsid w:val="00082597"/>
    <w:rsid w:val="00082A25"/>
    <w:rsid w:val="00087370"/>
    <w:rsid w:val="000929AA"/>
    <w:rsid w:val="000A4625"/>
    <w:rsid w:val="000B3B68"/>
    <w:rsid w:val="000B59E1"/>
    <w:rsid w:val="000D1DF0"/>
    <w:rsid w:val="000E0AC5"/>
    <w:rsid w:val="000E7BC8"/>
    <w:rsid w:val="000F00DB"/>
    <w:rsid w:val="00112BF1"/>
    <w:rsid w:val="00114523"/>
    <w:rsid w:val="00116F10"/>
    <w:rsid w:val="0012350B"/>
    <w:rsid w:val="001270AA"/>
    <w:rsid w:val="001343E5"/>
    <w:rsid w:val="001352A1"/>
    <w:rsid w:val="001376B5"/>
    <w:rsid w:val="0014232B"/>
    <w:rsid w:val="001563B2"/>
    <w:rsid w:val="00170B14"/>
    <w:rsid w:val="0018038B"/>
    <w:rsid w:val="00193403"/>
    <w:rsid w:val="0019360F"/>
    <w:rsid w:val="001947A8"/>
    <w:rsid w:val="00195063"/>
    <w:rsid w:val="001A1005"/>
    <w:rsid w:val="001A389B"/>
    <w:rsid w:val="001C59E1"/>
    <w:rsid w:val="001D6443"/>
    <w:rsid w:val="001E1F84"/>
    <w:rsid w:val="001E2338"/>
    <w:rsid w:val="001E2EBB"/>
    <w:rsid w:val="001E698C"/>
    <w:rsid w:val="001F2E02"/>
    <w:rsid w:val="0020688E"/>
    <w:rsid w:val="002154D0"/>
    <w:rsid w:val="00216792"/>
    <w:rsid w:val="002232CD"/>
    <w:rsid w:val="00226984"/>
    <w:rsid w:val="0022797E"/>
    <w:rsid w:val="00227D4F"/>
    <w:rsid w:val="00237541"/>
    <w:rsid w:val="00237887"/>
    <w:rsid w:val="002409C6"/>
    <w:rsid w:val="00251FFE"/>
    <w:rsid w:val="002538B4"/>
    <w:rsid w:val="00254FEB"/>
    <w:rsid w:val="002556AA"/>
    <w:rsid w:val="00262C33"/>
    <w:rsid w:val="00263088"/>
    <w:rsid w:val="00264D75"/>
    <w:rsid w:val="00266767"/>
    <w:rsid w:val="00285766"/>
    <w:rsid w:val="00287131"/>
    <w:rsid w:val="00291926"/>
    <w:rsid w:val="00295296"/>
    <w:rsid w:val="00295FA9"/>
    <w:rsid w:val="002A1049"/>
    <w:rsid w:val="002A132C"/>
    <w:rsid w:val="002A37FD"/>
    <w:rsid w:val="002A388E"/>
    <w:rsid w:val="002B446C"/>
    <w:rsid w:val="002B5D83"/>
    <w:rsid w:val="002B78F9"/>
    <w:rsid w:val="002C1634"/>
    <w:rsid w:val="002C3E06"/>
    <w:rsid w:val="002C6126"/>
    <w:rsid w:val="002D6C90"/>
    <w:rsid w:val="002E22D6"/>
    <w:rsid w:val="002E4441"/>
    <w:rsid w:val="002E4710"/>
    <w:rsid w:val="002E62C6"/>
    <w:rsid w:val="002E75BC"/>
    <w:rsid w:val="002F0A0E"/>
    <w:rsid w:val="002F7128"/>
    <w:rsid w:val="003032E0"/>
    <w:rsid w:val="00303359"/>
    <w:rsid w:val="0030651F"/>
    <w:rsid w:val="00306532"/>
    <w:rsid w:val="00306924"/>
    <w:rsid w:val="00312DE6"/>
    <w:rsid w:val="003131DE"/>
    <w:rsid w:val="00314C21"/>
    <w:rsid w:val="00315CC4"/>
    <w:rsid w:val="003168F9"/>
    <w:rsid w:val="00330E2C"/>
    <w:rsid w:val="00332FC8"/>
    <w:rsid w:val="00334236"/>
    <w:rsid w:val="003410F3"/>
    <w:rsid w:val="0034355C"/>
    <w:rsid w:val="00343F7D"/>
    <w:rsid w:val="0034420C"/>
    <w:rsid w:val="00352A4B"/>
    <w:rsid w:val="00356E23"/>
    <w:rsid w:val="0036526A"/>
    <w:rsid w:val="003704B5"/>
    <w:rsid w:val="00381447"/>
    <w:rsid w:val="00381701"/>
    <w:rsid w:val="00382286"/>
    <w:rsid w:val="003837BF"/>
    <w:rsid w:val="00390310"/>
    <w:rsid w:val="00394C49"/>
    <w:rsid w:val="00395F49"/>
    <w:rsid w:val="003A05C8"/>
    <w:rsid w:val="003A216B"/>
    <w:rsid w:val="003A570E"/>
    <w:rsid w:val="003B3536"/>
    <w:rsid w:val="003B3F96"/>
    <w:rsid w:val="003B4D13"/>
    <w:rsid w:val="003B6914"/>
    <w:rsid w:val="003C0F71"/>
    <w:rsid w:val="003C701F"/>
    <w:rsid w:val="003D00CC"/>
    <w:rsid w:val="003D2545"/>
    <w:rsid w:val="003D4182"/>
    <w:rsid w:val="003F2E9B"/>
    <w:rsid w:val="003F3F0F"/>
    <w:rsid w:val="003F59AC"/>
    <w:rsid w:val="003F652F"/>
    <w:rsid w:val="004001DD"/>
    <w:rsid w:val="00400E6E"/>
    <w:rsid w:val="0040143D"/>
    <w:rsid w:val="00407A3D"/>
    <w:rsid w:val="00413C1F"/>
    <w:rsid w:val="0041476A"/>
    <w:rsid w:val="00421553"/>
    <w:rsid w:val="00422427"/>
    <w:rsid w:val="0042508B"/>
    <w:rsid w:val="0042649B"/>
    <w:rsid w:val="00435EE3"/>
    <w:rsid w:val="00444CC9"/>
    <w:rsid w:val="00445C5D"/>
    <w:rsid w:val="00447396"/>
    <w:rsid w:val="00447D2C"/>
    <w:rsid w:val="004515F0"/>
    <w:rsid w:val="00460190"/>
    <w:rsid w:val="00460AC1"/>
    <w:rsid w:val="00461982"/>
    <w:rsid w:val="004658C4"/>
    <w:rsid w:val="004671BB"/>
    <w:rsid w:val="0047038C"/>
    <w:rsid w:val="00471AB5"/>
    <w:rsid w:val="00472D74"/>
    <w:rsid w:val="00477273"/>
    <w:rsid w:val="00480DF9"/>
    <w:rsid w:val="004814D2"/>
    <w:rsid w:val="00483BAB"/>
    <w:rsid w:val="00484AFB"/>
    <w:rsid w:val="004A0531"/>
    <w:rsid w:val="004A226D"/>
    <w:rsid w:val="004A47DF"/>
    <w:rsid w:val="004A5B59"/>
    <w:rsid w:val="004C0A29"/>
    <w:rsid w:val="004C6F8E"/>
    <w:rsid w:val="004E269E"/>
    <w:rsid w:val="004E3521"/>
    <w:rsid w:val="004E5EA8"/>
    <w:rsid w:val="004F4147"/>
    <w:rsid w:val="004F4734"/>
    <w:rsid w:val="00503107"/>
    <w:rsid w:val="005045FE"/>
    <w:rsid w:val="00511215"/>
    <w:rsid w:val="0052757A"/>
    <w:rsid w:val="00527F6A"/>
    <w:rsid w:val="00532DD5"/>
    <w:rsid w:val="005358AC"/>
    <w:rsid w:val="00540FA2"/>
    <w:rsid w:val="00546D5E"/>
    <w:rsid w:val="00550472"/>
    <w:rsid w:val="00552890"/>
    <w:rsid w:val="0055794A"/>
    <w:rsid w:val="00562E5F"/>
    <w:rsid w:val="00563D05"/>
    <w:rsid w:val="005663C8"/>
    <w:rsid w:val="00566993"/>
    <w:rsid w:val="00571177"/>
    <w:rsid w:val="00576444"/>
    <w:rsid w:val="00580940"/>
    <w:rsid w:val="00583001"/>
    <w:rsid w:val="0058624B"/>
    <w:rsid w:val="00586680"/>
    <w:rsid w:val="00586D16"/>
    <w:rsid w:val="00590ACF"/>
    <w:rsid w:val="00591443"/>
    <w:rsid w:val="00597512"/>
    <w:rsid w:val="005A42D7"/>
    <w:rsid w:val="005A4DE3"/>
    <w:rsid w:val="005B0CAE"/>
    <w:rsid w:val="005B3ACF"/>
    <w:rsid w:val="005B3EB8"/>
    <w:rsid w:val="005B47D1"/>
    <w:rsid w:val="005B5AB1"/>
    <w:rsid w:val="005B734B"/>
    <w:rsid w:val="005C0B11"/>
    <w:rsid w:val="005C2AA1"/>
    <w:rsid w:val="005C2BB9"/>
    <w:rsid w:val="005D3C6A"/>
    <w:rsid w:val="005D5B62"/>
    <w:rsid w:val="005E1EEB"/>
    <w:rsid w:val="005F454F"/>
    <w:rsid w:val="005F4B3B"/>
    <w:rsid w:val="00600652"/>
    <w:rsid w:val="00604AFD"/>
    <w:rsid w:val="00606D4D"/>
    <w:rsid w:val="0061098F"/>
    <w:rsid w:val="00612D21"/>
    <w:rsid w:val="00614FE4"/>
    <w:rsid w:val="00621A5A"/>
    <w:rsid w:val="00623B3C"/>
    <w:rsid w:val="00625024"/>
    <w:rsid w:val="006273A7"/>
    <w:rsid w:val="00641401"/>
    <w:rsid w:val="006414CE"/>
    <w:rsid w:val="00642F40"/>
    <w:rsid w:val="00650A31"/>
    <w:rsid w:val="006570E5"/>
    <w:rsid w:val="00657B6C"/>
    <w:rsid w:val="00657D6E"/>
    <w:rsid w:val="00663270"/>
    <w:rsid w:val="00664031"/>
    <w:rsid w:val="006678F3"/>
    <w:rsid w:val="006711AD"/>
    <w:rsid w:val="00672E6F"/>
    <w:rsid w:val="00673216"/>
    <w:rsid w:val="00675B5B"/>
    <w:rsid w:val="00684876"/>
    <w:rsid w:val="006910C6"/>
    <w:rsid w:val="00693733"/>
    <w:rsid w:val="00693E11"/>
    <w:rsid w:val="006B2BF9"/>
    <w:rsid w:val="006B372B"/>
    <w:rsid w:val="006B736C"/>
    <w:rsid w:val="006C0E6D"/>
    <w:rsid w:val="006C3887"/>
    <w:rsid w:val="006D4A22"/>
    <w:rsid w:val="006E4E7C"/>
    <w:rsid w:val="007009DF"/>
    <w:rsid w:val="0070120F"/>
    <w:rsid w:val="007078D3"/>
    <w:rsid w:val="00710A5D"/>
    <w:rsid w:val="00710B2F"/>
    <w:rsid w:val="0071235A"/>
    <w:rsid w:val="00714B98"/>
    <w:rsid w:val="00717538"/>
    <w:rsid w:val="00717DEF"/>
    <w:rsid w:val="007226EE"/>
    <w:rsid w:val="007372F3"/>
    <w:rsid w:val="00737510"/>
    <w:rsid w:val="00740CD1"/>
    <w:rsid w:val="00744E17"/>
    <w:rsid w:val="00750100"/>
    <w:rsid w:val="007625B7"/>
    <w:rsid w:val="00774CC1"/>
    <w:rsid w:val="0077709E"/>
    <w:rsid w:val="007774AD"/>
    <w:rsid w:val="007804DF"/>
    <w:rsid w:val="00780FE9"/>
    <w:rsid w:val="00786BA6"/>
    <w:rsid w:val="00787734"/>
    <w:rsid w:val="00790F57"/>
    <w:rsid w:val="007928B3"/>
    <w:rsid w:val="007970B6"/>
    <w:rsid w:val="007A0365"/>
    <w:rsid w:val="007A0CE8"/>
    <w:rsid w:val="007A2CA9"/>
    <w:rsid w:val="007A65B3"/>
    <w:rsid w:val="007B20D1"/>
    <w:rsid w:val="007B2FC3"/>
    <w:rsid w:val="007B5FA8"/>
    <w:rsid w:val="007C38BA"/>
    <w:rsid w:val="007C4E01"/>
    <w:rsid w:val="007D5FCA"/>
    <w:rsid w:val="007D7DEC"/>
    <w:rsid w:val="007E5C8E"/>
    <w:rsid w:val="007F0848"/>
    <w:rsid w:val="007F2B24"/>
    <w:rsid w:val="007F3641"/>
    <w:rsid w:val="007F7F02"/>
    <w:rsid w:val="0080420C"/>
    <w:rsid w:val="00814295"/>
    <w:rsid w:val="008172C7"/>
    <w:rsid w:val="00823294"/>
    <w:rsid w:val="00824531"/>
    <w:rsid w:val="008412D7"/>
    <w:rsid w:val="00842CC1"/>
    <w:rsid w:val="0084338B"/>
    <w:rsid w:val="00843968"/>
    <w:rsid w:val="0085056F"/>
    <w:rsid w:val="00860729"/>
    <w:rsid w:val="00866E37"/>
    <w:rsid w:val="00870349"/>
    <w:rsid w:val="008719EC"/>
    <w:rsid w:val="0087379D"/>
    <w:rsid w:val="00886A34"/>
    <w:rsid w:val="0089191A"/>
    <w:rsid w:val="008935D9"/>
    <w:rsid w:val="008A14A0"/>
    <w:rsid w:val="008A282D"/>
    <w:rsid w:val="008B2F39"/>
    <w:rsid w:val="008B6E0B"/>
    <w:rsid w:val="008C2AAB"/>
    <w:rsid w:val="008C6B3E"/>
    <w:rsid w:val="008C6BFE"/>
    <w:rsid w:val="008C72B4"/>
    <w:rsid w:val="008D6CCF"/>
    <w:rsid w:val="008D7B72"/>
    <w:rsid w:val="008E003F"/>
    <w:rsid w:val="008E0BFD"/>
    <w:rsid w:val="008E30D1"/>
    <w:rsid w:val="008E6ED4"/>
    <w:rsid w:val="008E76E5"/>
    <w:rsid w:val="008F592D"/>
    <w:rsid w:val="008F5A29"/>
    <w:rsid w:val="009106CF"/>
    <w:rsid w:val="00910744"/>
    <w:rsid w:val="009114DD"/>
    <w:rsid w:val="00912EA5"/>
    <w:rsid w:val="00913943"/>
    <w:rsid w:val="00936DA1"/>
    <w:rsid w:val="009422FD"/>
    <w:rsid w:val="009558D0"/>
    <w:rsid w:val="00962460"/>
    <w:rsid w:val="0096334D"/>
    <w:rsid w:val="00963EF5"/>
    <w:rsid w:val="00965CAC"/>
    <w:rsid w:val="00974396"/>
    <w:rsid w:val="00976F68"/>
    <w:rsid w:val="00977533"/>
    <w:rsid w:val="00977995"/>
    <w:rsid w:val="009801A5"/>
    <w:rsid w:val="00984362"/>
    <w:rsid w:val="00984A70"/>
    <w:rsid w:val="0098749E"/>
    <w:rsid w:val="0099094B"/>
    <w:rsid w:val="009951CD"/>
    <w:rsid w:val="009A2FCB"/>
    <w:rsid w:val="009A3931"/>
    <w:rsid w:val="009A50C5"/>
    <w:rsid w:val="009A5E42"/>
    <w:rsid w:val="009B1224"/>
    <w:rsid w:val="009B1D9B"/>
    <w:rsid w:val="009B279E"/>
    <w:rsid w:val="009B2BBE"/>
    <w:rsid w:val="009B4543"/>
    <w:rsid w:val="009C26A2"/>
    <w:rsid w:val="009C3778"/>
    <w:rsid w:val="009C709D"/>
    <w:rsid w:val="009D4596"/>
    <w:rsid w:val="009D5904"/>
    <w:rsid w:val="009D66B6"/>
    <w:rsid w:val="009E28B8"/>
    <w:rsid w:val="009F6CF7"/>
    <w:rsid w:val="00A034D0"/>
    <w:rsid w:val="00A066B1"/>
    <w:rsid w:val="00A116C4"/>
    <w:rsid w:val="00A163F3"/>
    <w:rsid w:val="00A16AEC"/>
    <w:rsid w:val="00A17F7D"/>
    <w:rsid w:val="00A33D4C"/>
    <w:rsid w:val="00A3504D"/>
    <w:rsid w:val="00A368D0"/>
    <w:rsid w:val="00A432BF"/>
    <w:rsid w:val="00A449C9"/>
    <w:rsid w:val="00A61FCE"/>
    <w:rsid w:val="00A80826"/>
    <w:rsid w:val="00A81AFD"/>
    <w:rsid w:val="00A91184"/>
    <w:rsid w:val="00A92B41"/>
    <w:rsid w:val="00A92C17"/>
    <w:rsid w:val="00A93310"/>
    <w:rsid w:val="00A944CD"/>
    <w:rsid w:val="00A951C2"/>
    <w:rsid w:val="00AA13CC"/>
    <w:rsid w:val="00AA5757"/>
    <w:rsid w:val="00AA6614"/>
    <w:rsid w:val="00AB0E69"/>
    <w:rsid w:val="00AB155C"/>
    <w:rsid w:val="00AC0333"/>
    <w:rsid w:val="00AC0363"/>
    <w:rsid w:val="00AC2453"/>
    <w:rsid w:val="00AC4923"/>
    <w:rsid w:val="00AD0A2A"/>
    <w:rsid w:val="00AD0F73"/>
    <w:rsid w:val="00B00A3A"/>
    <w:rsid w:val="00B02599"/>
    <w:rsid w:val="00B05428"/>
    <w:rsid w:val="00B064E5"/>
    <w:rsid w:val="00B07264"/>
    <w:rsid w:val="00B12ED4"/>
    <w:rsid w:val="00B14361"/>
    <w:rsid w:val="00B145DE"/>
    <w:rsid w:val="00B23B48"/>
    <w:rsid w:val="00B27FC2"/>
    <w:rsid w:val="00B3334A"/>
    <w:rsid w:val="00B34705"/>
    <w:rsid w:val="00B4276F"/>
    <w:rsid w:val="00B44CEE"/>
    <w:rsid w:val="00B57143"/>
    <w:rsid w:val="00B63872"/>
    <w:rsid w:val="00B66006"/>
    <w:rsid w:val="00B70BEC"/>
    <w:rsid w:val="00B728F1"/>
    <w:rsid w:val="00B7391F"/>
    <w:rsid w:val="00B83F62"/>
    <w:rsid w:val="00B856A7"/>
    <w:rsid w:val="00B92C91"/>
    <w:rsid w:val="00BA1B52"/>
    <w:rsid w:val="00BA3E90"/>
    <w:rsid w:val="00BA488F"/>
    <w:rsid w:val="00BA608C"/>
    <w:rsid w:val="00BB379A"/>
    <w:rsid w:val="00BB7D8D"/>
    <w:rsid w:val="00BC16D8"/>
    <w:rsid w:val="00BD0AF2"/>
    <w:rsid w:val="00BD629F"/>
    <w:rsid w:val="00BD7352"/>
    <w:rsid w:val="00BF17BD"/>
    <w:rsid w:val="00C00B08"/>
    <w:rsid w:val="00C04EB1"/>
    <w:rsid w:val="00C11238"/>
    <w:rsid w:val="00C33A6B"/>
    <w:rsid w:val="00C35CC3"/>
    <w:rsid w:val="00C44559"/>
    <w:rsid w:val="00C5113E"/>
    <w:rsid w:val="00C51765"/>
    <w:rsid w:val="00C55D05"/>
    <w:rsid w:val="00C655AB"/>
    <w:rsid w:val="00C65643"/>
    <w:rsid w:val="00C742DE"/>
    <w:rsid w:val="00C931BA"/>
    <w:rsid w:val="00C960EA"/>
    <w:rsid w:val="00CA1574"/>
    <w:rsid w:val="00CC1BCA"/>
    <w:rsid w:val="00CC3DC8"/>
    <w:rsid w:val="00CC49B4"/>
    <w:rsid w:val="00CD4208"/>
    <w:rsid w:val="00CE1E80"/>
    <w:rsid w:val="00CE2146"/>
    <w:rsid w:val="00CE4C7B"/>
    <w:rsid w:val="00CF3723"/>
    <w:rsid w:val="00CF38BC"/>
    <w:rsid w:val="00CF6F49"/>
    <w:rsid w:val="00D01197"/>
    <w:rsid w:val="00D05B12"/>
    <w:rsid w:val="00D109BA"/>
    <w:rsid w:val="00D10B4F"/>
    <w:rsid w:val="00D12FAD"/>
    <w:rsid w:val="00D21D7E"/>
    <w:rsid w:val="00D230EC"/>
    <w:rsid w:val="00D26EBD"/>
    <w:rsid w:val="00D3163F"/>
    <w:rsid w:val="00D36032"/>
    <w:rsid w:val="00D41E24"/>
    <w:rsid w:val="00D52F86"/>
    <w:rsid w:val="00D553E2"/>
    <w:rsid w:val="00D63341"/>
    <w:rsid w:val="00D66A44"/>
    <w:rsid w:val="00D72CAA"/>
    <w:rsid w:val="00D72CB9"/>
    <w:rsid w:val="00D74CBE"/>
    <w:rsid w:val="00D809AC"/>
    <w:rsid w:val="00D81782"/>
    <w:rsid w:val="00D82455"/>
    <w:rsid w:val="00D83BD6"/>
    <w:rsid w:val="00D8541B"/>
    <w:rsid w:val="00DA05B8"/>
    <w:rsid w:val="00DA2AEA"/>
    <w:rsid w:val="00DA50C6"/>
    <w:rsid w:val="00DA582B"/>
    <w:rsid w:val="00DB0F9E"/>
    <w:rsid w:val="00DB2E01"/>
    <w:rsid w:val="00DB538F"/>
    <w:rsid w:val="00DC0044"/>
    <w:rsid w:val="00DC2A0E"/>
    <w:rsid w:val="00DD3CA3"/>
    <w:rsid w:val="00DD4A7A"/>
    <w:rsid w:val="00DE2390"/>
    <w:rsid w:val="00DE3845"/>
    <w:rsid w:val="00DF5C26"/>
    <w:rsid w:val="00E1096A"/>
    <w:rsid w:val="00E13BE3"/>
    <w:rsid w:val="00E1425C"/>
    <w:rsid w:val="00E142B7"/>
    <w:rsid w:val="00E161AF"/>
    <w:rsid w:val="00E21204"/>
    <w:rsid w:val="00E26F24"/>
    <w:rsid w:val="00E27626"/>
    <w:rsid w:val="00E36AD5"/>
    <w:rsid w:val="00E427D3"/>
    <w:rsid w:val="00E55790"/>
    <w:rsid w:val="00E66119"/>
    <w:rsid w:val="00E66148"/>
    <w:rsid w:val="00E67C44"/>
    <w:rsid w:val="00E71590"/>
    <w:rsid w:val="00E77BAF"/>
    <w:rsid w:val="00E83B14"/>
    <w:rsid w:val="00E86C05"/>
    <w:rsid w:val="00E90789"/>
    <w:rsid w:val="00E947ED"/>
    <w:rsid w:val="00E954D5"/>
    <w:rsid w:val="00EA00DE"/>
    <w:rsid w:val="00EA22C4"/>
    <w:rsid w:val="00EA7D5D"/>
    <w:rsid w:val="00EB6129"/>
    <w:rsid w:val="00EB617A"/>
    <w:rsid w:val="00EC13B5"/>
    <w:rsid w:val="00EC4277"/>
    <w:rsid w:val="00EC4801"/>
    <w:rsid w:val="00EC4AA1"/>
    <w:rsid w:val="00EC591F"/>
    <w:rsid w:val="00ED3615"/>
    <w:rsid w:val="00ED550B"/>
    <w:rsid w:val="00ED5A07"/>
    <w:rsid w:val="00EF3ECB"/>
    <w:rsid w:val="00EF452B"/>
    <w:rsid w:val="00F03416"/>
    <w:rsid w:val="00F12CE5"/>
    <w:rsid w:val="00F16064"/>
    <w:rsid w:val="00F1662A"/>
    <w:rsid w:val="00F21338"/>
    <w:rsid w:val="00F23DBC"/>
    <w:rsid w:val="00F269D2"/>
    <w:rsid w:val="00F2743E"/>
    <w:rsid w:val="00F4068E"/>
    <w:rsid w:val="00F44DFF"/>
    <w:rsid w:val="00F46ED2"/>
    <w:rsid w:val="00F51D58"/>
    <w:rsid w:val="00F60383"/>
    <w:rsid w:val="00F72B5F"/>
    <w:rsid w:val="00F73A44"/>
    <w:rsid w:val="00F84EC1"/>
    <w:rsid w:val="00F864BD"/>
    <w:rsid w:val="00F86789"/>
    <w:rsid w:val="00F872FA"/>
    <w:rsid w:val="00F91243"/>
    <w:rsid w:val="00F924C4"/>
    <w:rsid w:val="00F93A20"/>
    <w:rsid w:val="00F94EF0"/>
    <w:rsid w:val="00F95A7E"/>
    <w:rsid w:val="00FA21E7"/>
    <w:rsid w:val="00FB67AB"/>
    <w:rsid w:val="00FC14C3"/>
    <w:rsid w:val="00FC15AF"/>
    <w:rsid w:val="00FC5927"/>
    <w:rsid w:val="00FC6D08"/>
    <w:rsid w:val="00FC733A"/>
    <w:rsid w:val="00FD2382"/>
    <w:rsid w:val="00FD5809"/>
    <w:rsid w:val="00FD7A68"/>
    <w:rsid w:val="00FE013C"/>
    <w:rsid w:val="00FE40CB"/>
    <w:rsid w:val="00FE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EB306"/>
  <w15:docId w15:val="{6537CBCA-A712-4CCF-875A-49D00115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88E"/>
    <w:rPr>
      <w:sz w:val="20"/>
      <w:szCs w:val="20"/>
    </w:rPr>
  </w:style>
  <w:style w:type="paragraph" w:styleId="Heading1">
    <w:name w:val="heading 1"/>
    <w:basedOn w:val="Normal"/>
    <w:next w:val="Normal"/>
    <w:link w:val="Heading1Char"/>
    <w:uiPriority w:val="9"/>
    <w:qFormat/>
    <w:rsid w:val="002A388E"/>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2A388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2A388E"/>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2A388E"/>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2A388E"/>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2A388E"/>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2A388E"/>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2A388E"/>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2A388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88E"/>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2A388E"/>
    <w:rPr>
      <w:caps/>
      <w:spacing w:val="15"/>
      <w:shd w:val="clear" w:color="auto" w:fill="DBE5F1" w:themeFill="accent1" w:themeFillTint="33"/>
    </w:rPr>
  </w:style>
  <w:style w:type="character" w:customStyle="1" w:styleId="Heading3Char">
    <w:name w:val="Heading 3 Char"/>
    <w:basedOn w:val="DefaultParagraphFont"/>
    <w:link w:val="Heading3"/>
    <w:uiPriority w:val="9"/>
    <w:rsid w:val="002A388E"/>
    <w:rPr>
      <w:caps/>
      <w:color w:val="243F60" w:themeColor="accent1" w:themeShade="7F"/>
      <w:spacing w:val="15"/>
    </w:rPr>
  </w:style>
  <w:style w:type="character" w:customStyle="1" w:styleId="Heading4Char">
    <w:name w:val="Heading 4 Char"/>
    <w:basedOn w:val="DefaultParagraphFont"/>
    <w:link w:val="Heading4"/>
    <w:uiPriority w:val="9"/>
    <w:rsid w:val="002A388E"/>
    <w:rPr>
      <w:caps/>
      <w:color w:val="365F91" w:themeColor="accent1" w:themeShade="BF"/>
      <w:spacing w:val="10"/>
    </w:rPr>
  </w:style>
  <w:style w:type="character" w:customStyle="1" w:styleId="Heading5Char">
    <w:name w:val="Heading 5 Char"/>
    <w:basedOn w:val="DefaultParagraphFont"/>
    <w:link w:val="Heading5"/>
    <w:uiPriority w:val="9"/>
    <w:semiHidden/>
    <w:rsid w:val="002A388E"/>
    <w:rPr>
      <w:caps/>
      <w:color w:val="365F91" w:themeColor="accent1" w:themeShade="BF"/>
      <w:spacing w:val="10"/>
    </w:rPr>
  </w:style>
  <w:style w:type="character" w:customStyle="1" w:styleId="Heading6Char">
    <w:name w:val="Heading 6 Char"/>
    <w:basedOn w:val="DefaultParagraphFont"/>
    <w:link w:val="Heading6"/>
    <w:uiPriority w:val="9"/>
    <w:semiHidden/>
    <w:rsid w:val="002A388E"/>
    <w:rPr>
      <w:caps/>
      <w:color w:val="365F91" w:themeColor="accent1" w:themeShade="BF"/>
      <w:spacing w:val="10"/>
    </w:rPr>
  </w:style>
  <w:style w:type="character" w:customStyle="1" w:styleId="Heading7Char">
    <w:name w:val="Heading 7 Char"/>
    <w:basedOn w:val="DefaultParagraphFont"/>
    <w:link w:val="Heading7"/>
    <w:uiPriority w:val="9"/>
    <w:semiHidden/>
    <w:rsid w:val="002A388E"/>
    <w:rPr>
      <w:caps/>
      <w:color w:val="365F91" w:themeColor="accent1" w:themeShade="BF"/>
      <w:spacing w:val="10"/>
    </w:rPr>
  </w:style>
  <w:style w:type="character" w:customStyle="1" w:styleId="Heading8Char">
    <w:name w:val="Heading 8 Char"/>
    <w:basedOn w:val="DefaultParagraphFont"/>
    <w:link w:val="Heading8"/>
    <w:uiPriority w:val="9"/>
    <w:rsid w:val="002A388E"/>
    <w:rPr>
      <w:caps/>
      <w:spacing w:val="10"/>
      <w:sz w:val="18"/>
      <w:szCs w:val="18"/>
    </w:rPr>
  </w:style>
  <w:style w:type="character" w:customStyle="1" w:styleId="Heading9Char">
    <w:name w:val="Heading 9 Char"/>
    <w:basedOn w:val="DefaultParagraphFont"/>
    <w:link w:val="Heading9"/>
    <w:uiPriority w:val="9"/>
    <w:rsid w:val="002A388E"/>
    <w:rPr>
      <w:i/>
      <w:caps/>
      <w:spacing w:val="10"/>
      <w:sz w:val="18"/>
      <w:szCs w:val="18"/>
    </w:rPr>
  </w:style>
  <w:style w:type="paragraph" w:styleId="Caption">
    <w:name w:val="caption"/>
    <w:basedOn w:val="Normal"/>
    <w:next w:val="Normal"/>
    <w:uiPriority w:val="35"/>
    <w:semiHidden/>
    <w:unhideWhenUsed/>
    <w:qFormat/>
    <w:rsid w:val="002A388E"/>
    <w:rPr>
      <w:b/>
      <w:bCs/>
      <w:color w:val="365F91" w:themeColor="accent1" w:themeShade="BF"/>
      <w:sz w:val="16"/>
      <w:szCs w:val="16"/>
    </w:rPr>
  </w:style>
  <w:style w:type="paragraph" w:styleId="Title">
    <w:name w:val="Title"/>
    <w:basedOn w:val="Normal"/>
    <w:next w:val="Normal"/>
    <w:link w:val="TitleChar"/>
    <w:uiPriority w:val="10"/>
    <w:qFormat/>
    <w:rsid w:val="002A388E"/>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2A388E"/>
    <w:rPr>
      <w:caps/>
      <w:color w:val="4F81BD" w:themeColor="accent1"/>
      <w:spacing w:val="10"/>
      <w:kern w:val="28"/>
      <w:sz w:val="52"/>
      <w:szCs w:val="52"/>
    </w:rPr>
  </w:style>
  <w:style w:type="paragraph" w:styleId="Subtitle">
    <w:name w:val="Subtitle"/>
    <w:basedOn w:val="Normal"/>
    <w:next w:val="Normal"/>
    <w:link w:val="SubtitleChar"/>
    <w:uiPriority w:val="11"/>
    <w:qFormat/>
    <w:rsid w:val="002A388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2A388E"/>
    <w:rPr>
      <w:caps/>
      <w:color w:val="595959" w:themeColor="text1" w:themeTint="A6"/>
      <w:spacing w:val="10"/>
      <w:sz w:val="24"/>
      <w:szCs w:val="24"/>
    </w:rPr>
  </w:style>
  <w:style w:type="character" w:styleId="Strong">
    <w:name w:val="Strong"/>
    <w:uiPriority w:val="22"/>
    <w:qFormat/>
    <w:rsid w:val="002A388E"/>
    <w:rPr>
      <w:b/>
      <w:bCs/>
    </w:rPr>
  </w:style>
  <w:style w:type="character" w:styleId="Emphasis">
    <w:name w:val="Emphasis"/>
    <w:uiPriority w:val="20"/>
    <w:qFormat/>
    <w:rsid w:val="002A388E"/>
    <w:rPr>
      <w:caps/>
      <w:color w:val="243F60" w:themeColor="accent1" w:themeShade="7F"/>
      <w:spacing w:val="5"/>
    </w:rPr>
  </w:style>
  <w:style w:type="paragraph" w:styleId="NoSpacing">
    <w:name w:val="No Spacing"/>
    <w:basedOn w:val="Normal"/>
    <w:link w:val="NoSpacingChar"/>
    <w:uiPriority w:val="1"/>
    <w:qFormat/>
    <w:rsid w:val="002A388E"/>
    <w:pPr>
      <w:spacing w:before="0" w:after="0" w:line="240" w:lineRule="auto"/>
    </w:pPr>
  </w:style>
  <w:style w:type="character" w:customStyle="1" w:styleId="NoSpacingChar">
    <w:name w:val="No Spacing Char"/>
    <w:basedOn w:val="DefaultParagraphFont"/>
    <w:link w:val="NoSpacing"/>
    <w:uiPriority w:val="1"/>
    <w:rsid w:val="002A388E"/>
    <w:rPr>
      <w:sz w:val="20"/>
      <w:szCs w:val="20"/>
    </w:rPr>
  </w:style>
  <w:style w:type="paragraph" w:styleId="ListParagraph">
    <w:name w:val="List Paragraph"/>
    <w:basedOn w:val="Normal"/>
    <w:uiPriority w:val="34"/>
    <w:qFormat/>
    <w:rsid w:val="002A388E"/>
    <w:pPr>
      <w:ind w:left="720"/>
      <w:contextualSpacing/>
    </w:pPr>
  </w:style>
  <w:style w:type="paragraph" w:styleId="Quote">
    <w:name w:val="Quote"/>
    <w:basedOn w:val="Normal"/>
    <w:next w:val="Normal"/>
    <w:link w:val="QuoteChar"/>
    <w:uiPriority w:val="29"/>
    <w:qFormat/>
    <w:rsid w:val="002A388E"/>
    <w:rPr>
      <w:i/>
      <w:iCs/>
    </w:rPr>
  </w:style>
  <w:style w:type="character" w:customStyle="1" w:styleId="QuoteChar">
    <w:name w:val="Quote Char"/>
    <w:basedOn w:val="DefaultParagraphFont"/>
    <w:link w:val="Quote"/>
    <w:uiPriority w:val="29"/>
    <w:rsid w:val="002A388E"/>
    <w:rPr>
      <w:i/>
      <w:iCs/>
      <w:sz w:val="20"/>
      <w:szCs w:val="20"/>
    </w:rPr>
  </w:style>
  <w:style w:type="paragraph" w:styleId="IntenseQuote">
    <w:name w:val="Intense Quote"/>
    <w:basedOn w:val="Normal"/>
    <w:next w:val="Normal"/>
    <w:link w:val="IntenseQuoteChar"/>
    <w:uiPriority w:val="30"/>
    <w:qFormat/>
    <w:rsid w:val="002A388E"/>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2A388E"/>
    <w:rPr>
      <w:i/>
      <w:iCs/>
      <w:color w:val="4F81BD" w:themeColor="accent1"/>
      <w:sz w:val="20"/>
      <w:szCs w:val="20"/>
    </w:rPr>
  </w:style>
  <w:style w:type="character" w:styleId="SubtleEmphasis">
    <w:name w:val="Subtle Emphasis"/>
    <w:uiPriority w:val="19"/>
    <w:qFormat/>
    <w:rsid w:val="002A388E"/>
    <w:rPr>
      <w:i/>
      <w:iCs/>
      <w:color w:val="243F60" w:themeColor="accent1" w:themeShade="7F"/>
    </w:rPr>
  </w:style>
  <w:style w:type="character" w:styleId="IntenseEmphasis">
    <w:name w:val="Intense Emphasis"/>
    <w:uiPriority w:val="21"/>
    <w:qFormat/>
    <w:rsid w:val="002A388E"/>
    <w:rPr>
      <w:b/>
      <w:bCs/>
      <w:caps/>
      <w:color w:val="243F60" w:themeColor="accent1" w:themeShade="7F"/>
      <w:spacing w:val="10"/>
    </w:rPr>
  </w:style>
  <w:style w:type="character" w:styleId="SubtleReference">
    <w:name w:val="Subtle Reference"/>
    <w:uiPriority w:val="31"/>
    <w:qFormat/>
    <w:rsid w:val="002A388E"/>
    <w:rPr>
      <w:b/>
      <w:bCs/>
      <w:color w:val="4F81BD" w:themeColor="accent1"/>
    </w:rPr>
  </w:style>
  <w:style w:type="character" w:styleId="IntenseReference">
    <w:name w:val="Intense Reference"/>
    <w:uiPriority w:val="32"/>
    <w:qFormat/>
    <w:rsid w:val="002A388E"/>
    <w:rPr>
      <w:b/>
      <w:bCs/>
      <w:i/>
      <w:iCs/>
      <w:caps/>
      <w:color w:val="4F81BD" w:themeColor="accent1"/>
    </w:rPr>
  </w:style>
  <w:style w:type="character" w:styleId="BookTitle">
    <w:name w:val="Book Title"/>
    <w:uiPriority w:val="33"/>
    <w:qFormat/>
    <w:rsid w:val="002A388E"/>
    <w:rPr>
      <w:b/>
      <w:bCs/>
      <w:i/>
      <w:iCs/>
      <w:spacing w:val="9"/>
    </w:rPr>
  </w:style>
  <w:style w:type="paragraph" w:styleId="TOCHeading">
    <w:name w:val="TOC Heading"/>
    <w:basedOn w:val="Heading1"/>
    <w:next w:val="Normal"/>
    <w:uiPriority w:val="39"/>
    <w:semiHidden/>
    <w:unhideWhenUsed/>
    <w:qFormat/>
    <w:rsid w:val="002A388E"/>
    <w:pPr>
      <w:outlineLvl w:val="9"/>
    </w:pPr>
    <w:rPr>
      <w:lang w:bidi="en-US"/>
    </w:rPr>
  </w:style>
  <w:style w:type="paragraph" w:styleId="Header">
    <w:name w:val="header"/>
    <w:basedOn w:val="Normal"/>
    <w:link w:val="HeaderChar"/>
    <w:uiPriority w:val="99"/>
    <w:unhideWhenUsed/>
    <w:rsid w:val="00F44DF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44DFF"/>
    <w:rPr>
      <w:sz w:val="20"/>
      <w:szCs w:val="20"/>
    </w:rPr>
  </w:style>
  <w:style w:type="paragraph" w:styleId="Footer">
    <w:name w:val="footer"/>
    <w:basedOn w:val="Normal"/>
    <w:link w:val="FooterChar"/>
    <w:uiPriority w:val="99"/>
    <w:unhideWhenUsed/>
    <w:rsid w:val="00F44DF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44DFF"/>
    <w:rPr>
      <w:sz w:val="20"/>
      <w:szCs w:val="20"/>
    </w:rPr>
  </w:style>
  <w:style w:type="paragraph" w:styleId="TOC1">
    <w:name w:val="toc 1"/>
    <w:basedOn w:val="Normal"/>
    <w:next w:val="Normal"/>
    <w:autoRedefine/>
    <w:uiPriority w:val="39"/>
    <w:unhideWhenUsed/>
    <w:rsid w:val="00F21338"/>
    <w:pPr>
      <w:tabs>
        <w:tab w:val="right" w:leader="dot" w:pos="9350"/>
      </w:tabs>
      <w:spacing w:before="0" w:after="0"/>
    </w:pPr>
  </w:style>
  <w:style w:type="paragraph" w:styleId="TOC2">
    <w:name w:val="toc 2"/>
    <w:basedOn w:val="Normal"/>
    <w:next w:val="Normal"/>
    <w:autoRedefine/>
    <w:uiPriority w:val="39"/>
    <w:unhideWhenUsed/>
    <w:rsid w:val="00F21338"/>
    <w:pPr>
      <w:spacing w:after="100"/>
      <w:ind w:left="200"/>
    </w:pPr>
  </w:style>
  <w:style w:type="paragraph" w:styleId="TOC3">
    <w:name w:val="toc 3"/>
    <w:basedOn w:val="Normal"/>
    <w:next w:val="Normal"/>
    <w:autoRedefine/>
    <w:uiPriority w:val="39"/>
    <w:unhideWhenUsed/>
    <w:rsid w:val="00F21338"/>
    <w:pPr>
      <w:spacing w:after="100"/>
      <w:ind w:left="400"/>
    </w:pPr>
  </w:style>
  <w:style w:type="character" w:styleId="Hyperlink">
    <w:name w:val="Hyperlink"/>
    <w:basedOn w:val="DefaultParagraphFont"/>
    <w:uiPriority w:val="99"/>
    <w:unhideWhenUsed/>
    <w:rsid w:val="00F21338"/>
    <w:rPr>
      <w:color w:val="0000FF" w:themeColor="hyperlink"/>
      <w:u w:val="single"/>
    </w:rPr>
  </w:style>
  <w:style w:type="paragraph" w:styleId="BalloonText">
    <w:name w:val="Balloon Text"/>
    <w:basedOn w:val="Normal"/>
    <w:link w:val="BalloonTextChar"/>
    <w:uiPriority w:val="99"/>
    <w:semiHidden/>
    <w:unhideWhenUsed/>
    <w:rsid w:val="00F2133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338"/>
    <w:rPr>
      <w:rFonts w:ascii="Tahoma" w:hAnsi="Tahoma" w:cs="Tahoma"/>
      <w:sz w:val="16"/>
      <w:szCs w:val="16"/>
    </w:rPr>
  </w:style>
  <w:style w:type="paragraph" w:styleId="FootnoteText">
    <w:name w:val="footnote text"/>
    <w:basedOn w:val="Normal"/>
    <w:link w:val="FootnoteTextChar"/>
    <w:uiPriority w:val="99"/>
    <w:semiHidden/>
    <w:unhideWhenUsed/>
    <w:rsid w:val="0047038C"/>
    <w:pPr>
      <w:spacing w:before="0" w:after="0" w:line="240" w:lineRule="auto"/>
    </w:pPr>
  </w:style>
  <w:style w:type="character" w:customStyle="1" w:styleId="FootnoteTextChar">
    <w:name w:val="Footnote Text Char"/>
    <w:basedOn w:val="DefaultParagraphFont"/>
    <w:link w:val="FootnoteText"/>
    <w:uiPriority w:val="99"/>
    <w:semiHidden/>
    <w:rsid w:val="0047038C"/>
    <w:rPr>
      <w:sz w:val="20"/>
      <w:szCs w:val="20"/>
    </w:rPr>
  </w:style>
  <w:style w:type="character" w:styleId="FootnoteReference">
    <w:name w:val="footnote reference"/>
    <w:basedOn w:val="DefaultParagraphFont"/>
    <w:uiPriority w:val="99"/>
    <w:semiHidden/>
    <w:unhideWhenUsed/>
    <w:rsid w:val="0047038C"/>
    <w:rPr>
      <w:vertAlign w:val="superscript"/>
    </w:rPr>
  </w:style>
  <w:style w:type="character" w:styleId="CommentReference">
    <w:name w:val="annotation reference"/>
    <w:basedOn w:val="DefaultParagraphFont"/>
    <w:uiPriority w:val="99"/>
    <w:semiHidden/>
    <w:unhideWhenUsed/>
    <w:rsid w:val="00AC0363"/>
    <w:rPr>
      <w:sz w:val="16"/>
      <w:szCs w:val="16"/>
    </w:rPr>
  </w:style>
  <w:style w:type="paragraph" w:styleId="CommentText">
    <w:name w:val="annotation text"/>
    <w:basedOn w:val="Normal"/>
    <w:link w:val="CommentTextChar"/>
    <w:uiPriority w:val="99"/>
    <w:unhideWhenUsed/>
    <w:rsid w:val="00AC0363"/>
    <w:pPr>
      <w:spacing w:line="240" w:lineRule="auto"/>
    </w:pPr>
  </w:style>
  <w:style w:type="character" w:customStyle="1" w:styleId="CommentTextChar">
    <w:name w:val="Comment Text Char"/>
    <w:basedOn w:val="DefaultParagraphFont"/>
    <w:link w:val="CommentText"/>
    <w:uiPriority w:val="99"/>
    <w:rsid w:val="00AC0363"/>
    <w:rPr>
      <w:sz w:val="20"/>
      <w:szCs w:val="20"/>
    </w:rPr>
  </w:style>
  <w:style w:type="paragraph" w:styleId="CommentSubject">
    <w:name w:val="annotation subject"/>
    <w:basedOn w:val="CommentText"/>
    <w:next w:val="CommentText"/>
    <w:link w:val="CommentSubjectChar"/>
    <w:uiPriority w:val="99"/>
    <w:semiHidden/>
    <w:unhideWhenUsed/>
    <w:rsid w:val="00AC0363"/>
    <w:rPr>
      <w:b/>
      <w:bCs/>
    </w:rPr>
  </w:style>
  <w:style w:type="character" w:customStyle="1" w:styleId="CommentSubjectChar">
    <w:name w:val="Comment Subject Char"/>
    <w:basedOn w:val="CommentTextChar"/>
    <w:link w:val="CommentSubject"/>
    <w:uiPriority w:val="99"/>
    <w:semiHidden/>
    <w:rsid w:val="00AC0363"/>
    <w:rPr>
      <w:b/>
      <w:bCs/>
      <w:sz w:val="20"/>
      <w:szCs w:val="20"/>
    </w:rPr>
  </w:style>
  <w:style w:type="paragraph" w:styleId="NormalWeb">
    <w:name w:val="Normal (Web)"/>
    <w:basedOn w:val="Normal"/>
    <w:uiPriority w:val="99"/>
    <w:semiHidden/>
    <w:unhideWhenUsed/>
    <w:rsid w:val="00AC03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t03">
    <w:name w:val="et03"/>
    <w:basedOn w:val="DefaultParagraphFont"/>
    <w:rsid w:val="00AC0363"/>
  </w:style>
  <w:style w:type="paragraph" w:customStyle="1" w:styleId="psection-2">
    <w:name w:val="psection-2"/>
    <w:basedOn w:val="Normal"/>
    <w:rsid w:val="00AC03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AC0363"/>
  </w:style>
  <w:style w:type="paragraph" w:styleId="Revision">
    <w:name w:val="Revision"/>
    <w:hidden/>
    <w:uiPriority w:val="99"/>
    <w:semiHidden/>
    <w:rsid w:val="00193403"/>
    <w:pPr>
      <w:spacing w:before="0"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301606">
      <w:bodyDiv w:val="1"/>
      <w:marLeft w:val="0"/>
      <w:marRight w:val="0"/>
      <w:marTop w:val="0"/>
      <w:marBottom w:val="0"/>
      <w:divBdr>
        <w:top w:val="none" w:sz="0" w:space="0" w:color="auto"/>
        <w:left w:val="none" w:sz="0" w:space="0" w:color="auto"/>
        <w:bottom w:val="none" w:sz="0" w:space="0" w:color="auto"/>
        <w:right w:val="none" w:sz="0" w:space="0" w:color="auto"/>
      </w:divBdr>
    </w:div>
    <w:div w:id="1733577481">
      <w:bodyDiv w:val="1"/>
      <w:marLeft w:val="0"/>
      <w:marRight w:val="0"/>
      <w:marTop w:val="0"/>
      <w:marBottom w:val="0"/>
      <w:divBdr>
        <w:top w:val="none" w:sz="0" w:space="0" w:color="auto"/>
        <w:left w:val="none" w:sz="0" w:space="0" w:color="auto"/>
        <w:bottom w:val="none" w:sz="0" w:space="0" w:color="auto"/>
        <w:right w:val="none" w:sz="0" w:space="0" w:color="auto"/>
      </w:divBdr>
    </w:div>
    <w:div w:id="204381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BBB2B-D9BB-45A0-BEEE-EFF45849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Roth</dc:creator>
  <cp:lastModifiedBy>Sarah Troutman</cp:lastModifiedBy>
  <cp:revision>2</cp:revision>
  <cp:lastPrinted>2016-07-18T16:25:00Z</cp:lastPrinted>
  <dcterms:created xsi:type="dcterms:W3CDTF">2022-12-07T16:39:00Z</dcterms:created>
  <dcterms:modified xsi:type="dcterms:W3CDTF">2022-12-07T16:39:00Z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06b9e9db18de3fcf9dd8d3e7f7362bc0cce6ba0ba9d2268e03ddf345e4063a0d</vt:lpwstr>
  </property>
</Properties>
</file>